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476"/>
        <w:gridCol w:w="222"/>
      </w:tblGrid>
      <w:tr w:rsidR="0094424E">
        <w:trPr>
          <w:jc w:val="center"/>
        </w:trPr>
        <w:tc>
          <w:tcPr>
            <w:tcW w:w="743" w:type="dxa"/>
          </w:tcPr>
          <w:p w:rsidR="00246A94" w:rsidRDefault="00246A94" w:rsidP="00246A94">
            <w:pPr>
              <w:rPr>
                <w:noProof w:val="0"/>
              </w:rPr>
            </w:pPr>
          </w:p>
          <w:tbl>
            <w:tblPr>
              <w:tblStyle w:val="aa"/>
              <w:bidiVisual/>
              <w:tblW w:w="8820" w:type="dxa"/>
              <w:jc w:val="center"/>
              <w:tblLook w:val="01E0" w:firstRow="1" w:lastRow="1" w:firstColumn="1" w:lastColumn="1" w:noHBand="0" w:noVBand="0"/>
            </w:tblPr>
            <w:tblGrid>
              <w:gridCol w:w="923"/>
              <w:gridCol w:w="3219"/>
              <w:gridCol w:w="4678"/>
            </w:tblGrid>
            <w:tr w:rsidR="00246A94" w:rsidTr="00246A94">
              <w:trPr>
                <w:trHeight w:val="295"/>
                <w:jc w:val="center"/>
              </w:trPr>
              <w:tc>
                <w:tcPr>
                  <w:tcW w:w="923" w:type="dxa"/>
                  <w:tcBorders>
                    <w:top w:val="nil"/>
                    <w:left w:val="nil"/>
                    <w:bottom w:val="nil"/>
                    <w:right w:val="nil"/>
                  </w:tcBorders>
                  <w:hideMark/>
                </w:tcPr>
                <w:p w:rsidR="00246A94" w:rsidRDefault="00246A94" w:rsidP="00246A94">
                  <w:pPr>
                    <w:jc w:val="both"/>
                    <w:rPr>
                      <w:rFonts w:ascii="David" w:hAnsi="David"/>
                      <w:sz w:val="26"/>
                      <w:szCs w:val="26"/>
                    </w:rPr>
                  </w:pPr>
                  <w:r>
                    <w:rPr>
                      <w:rFonts w:ascii="David" w:hAnsi="David"/>
                      <w:sz w:val="26"/>
                      <w:szCs w:val="26"/>
                      <w:rtl/>
                    </w:rPr>
                    <w:t xml:space="preserve">לפני </w:t>
                  </w:r>
                </w:p>
              </w:tc>
              <w:tc>
                <w:tcPr>
                  <w:tcW w:w="7897" w:type="dxa"/>
                  <w:gridSpan w:val="2"/>
                  <w:tcBorders>
                    <w:top w:val="nil"/>
                    <w:left w:val="nil"/>
                    <w:bottom w:val="nil"/>
                    <w:right w:val="nil"/>
                  </w:tcBorders>
                </w:tcPr>
                <w:p w:rsidR="00246A94" w:rsidRDefault="00246A94" w:rsidP="00246A94">
                  <w:pPr>
                    <w:jc w:val="both"/>
                    <w:rPr>
                      <w:rFonts w:ascii="David" w:hAnsi="David"/>
                      <w:sz w:val="26"/>
                      <w:szCs w:val="26"/>
                    </w:rPr>
                  </w:pPr>
                </w:p>
                <w:p w:rsidR="00246A94" w:rsidRDefault="00246A94" w:rsidP="00246A94">
                  <w:pPr>
                    <w:rPr>
                      <w:rFonts w:ascii="David" w:hAnsi="David"/>
                      <w:b/>
                      <w:bCs/>
                      <w:sz w:val="26"/>
                      <w:szCs w:val="26"/>
                    </w:rPr>
                  </w:pPr>
                  <w:r>
                    <w:rPr>
                      <w:rFonts w:ascii="David" w:hAnsi="David"/>
                      <w:b/>
                      <w:bCs/>
                      <w:sz w:val="26"/>
                      <w:szCs w:val="26"/>
                      <w:rtl/>
                    </w:rPr>
                    <w:t>כבוד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 סגן הנשיאה עמי</w:t>
                      </w:r>
                    </w:sdtContent>
                  </w:sdt>
                  <w:r>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קובו</w:t>
                      </w:r>
                    </w:sdtContent>
                  </w:sdt>
                </w:p>
                <w:p w:rsidR="00246A94" w:rsidRDefault="00246A94" w:rsidP="00246A94">
                  <w:pPr>
                    <w:rPr>
                      <w:rFonts w:ascii="David" w:hAnsi="David"/>
                      <w:b/>
                      <w:bCs/>
                      <w:sz w:val="26"/>
                      <w:szCs w:val="26"/>
                      <w:rtl/>
                    </w:rPr>
                  </w:pPr>
                  <w:r>
                    <w:rPr>
                      <w:rFonts w:ascii="David" w:hAnsi="David"/>
                      <w:b/>
                      <w:bCs/>
                      <w:sz w:val="26"/>
                      <w:szCs w:val="26"/>
                      <w:rtl/>
                    </w:rPr>
                    <w:t>כבוד ה</w:t>
                  </w:r>
                  <w:sdt>
                    <w:sdtPr>
                      <w:rPr>
                        <w:rFonts w:ascii="David" w:hAnsi="David"/>
                        <w:sz w:val="26"/>
                        <w:szCs w:val="26"/>
                        <w:rtl/>
                      </w:rPr>
                      <w:alias w:val="1574"/>
                      <w:tag w:val="1574"/>
                      <w:id w:val="-2049066445"/>
                      <w:text w:multiLine="1"/>
                    </w:sdtPr>
                    <w:sdtEndPr/>
                    <w:sdtContent>
                      <w:r>
                        <w:rPr>
                          <w:rFonts w:ascii="David" w:hAnsi="David"/>
                          <w:b/>
                          <w:bCs/>
                          <w:sz w:val="26"/>
                          <w:szCs w:val="26"/>
                          <w:rtl/>
                        </w:rPr>
                        <w:t>שופט מיכאל</w:t>
                      </w:r>
                    </w:sdtContent>
                  </w:sdt>
                  <w:r>
                    <w:rPr>
                      <w:rFonts w:ascii="David" w:hAnsi="David"/>
                      <w:b/>
                      <w:bCs/>
                      <w:sz w:val="26"/>
                      <w:szCs w:val="26"/>
                      <w:rtl/>
                    </w:rPr>
                    <w:t xml:space="preserve">  </w:t>
                  </w:r>
                  <w:sdt>
                    <w:sdtPr>
                      <w:rPr>
                        <w:rFonts w:ascii="David" w:hAnsi="David"/>
                        <w:sz w:val="26"/>
                        <w:szCs w:val="26"/>
                        <w:rtl/>
                      </w:rPr>
                      <w:alias w:val="1573"/>
                      <w:tag w:val="1573"/>
                      <w:id w:val="-1642730048"/>
                      <w:text w:multiLine="1"/>
                    </w:sdtPr>
                    <w:sdtEndPr/>
                    <w:sdtContent>
                      <w:r>
                        <w:rPr>
                          <w:rFonts w:ascii="David" w:hAnsi="David"/>
                          <w:b/>
                          <w:bCs/>
                          <w:sz w:val="26"/>
                          <w:szCs w:val="26"/>
                          <w:rtl/>
                        </w:rPr>
                        <w:t>קרשן</w:t>
                      </w:r>
                    </w:sdtContent>
                  </w:sdt>
                </w:p>
                <w:p w:rsidR="00246A94" w:rsidRDefault="00246A94" w:rsidP="00246A94">
                  <w:pPr>
                    <w:rPr>
                      <w:rFonts w:ascii="David" w:hAnsi="David"/>
                      <w:b/>
                      <w:bCs/>
                      <w:sz w:val="26"/>
                      <w:szCs w:val="26"/>
                      <w:rtl/>
                    </w:rPr>
                  </w:pPr>
                  <w:r>
                    <w:rPr>
                      <w:rFonts w:ascii="David" w:hAnsi="David"/>
                      <w:b/>
                      <w:bCs/>
                      <w:sz w:val="26"/>
                      <w:szCs w:val="26"/>
                      <w:rtl/>
                    </w:rPr>
                    <w:t>כבוד ה</w:t>
                  </w:r>
                  <w:sdt>
                    <w:sdtPr>
                      <w:rPr>
                        <w:rFonts w:ascii="David" w:hAnsi="David"/>
                        <w:b/>
                        <w:bCs/>
                        <w:sz w:val="26"/>
                        <w:szCs w:val="26"/>
                        <w:rtl/>
                      </w:rPr>
                      <w:alias w:val="1574"/>
                      <w:tag w:val="1574"/>
                      <w:id w:val="-1216270946"/>
                      <w:text w:multiLine="1"/>
                    </w:sdtPr>
                    <w:sdtEndPr/>
                    <w:sdtContent>
                      <w:r>
                        <w:rPr>
                          <w:rFonts w:ascii="David" w:hAnsi="David"/>
                          <w:b/>
                          <w:bCs/>
                          <w:sz w:val="26"/>
                          <w:szCs w:val="26"/>
                          <w:rtl/>
                        </w:rPr>
                        <w:t>שופטת מרב</w:t>
                      </w:r>
                    </w:sdtContent>
                  </w:sdt>
                  <w:r>
                    <w:rPr>
                      <w:rFonts w:ascii="David" w:hAnsi="David"/>
                      <w:b/>
                      <w:bCs/>
                      <w:sz w:val="26"/>
                      <w:szCs w:val="26"/>
                      <w:rtl/>
                    </w:rPr>
                    <w:t xml:space="preserve">  </w:t>
                  </w:r>
                  <w:sdt>
                    <w:sdtPr>
                      <w:rPr>
                        <w:rFonts w:ascii="David" w:hAnsi="David"/>
                        <w:sz w:val="26"/>
                        <w:szCs w:val="26"/>
                        <w:rtl/>
                      </w:rPr>
                      <w:alias w:val="1573"/>
                      <w:tag w:val="1573"/>
                      <w:id w:val="1478263549"/>
                      <w:text w:multiLine="1"/>
                    </w:sdtPr>
                    <w:sdtEndPr/>
                    <w:sdtContent>
                      <w:r>
                        <w:rPr>
                          <w:rFonts w:ascii="David" w:hAnsi="David"/>
                          <w:b/>
                          <w:bCs/>
                          <w:sz w:val="26"/>
                          <w:szCs w:val="26"/>
                          <w:rtl/>
                        </w:rPr>
                        <w:t>גרינברג</w:t>
                      </w:r>
                    </w:sdtContent>
                  </w:sdt>
                </w:p>
                <w:p w:rsidR="00246A94" w:rsidRDefault="00246A94" w:rsidP="00246A94">
                  <w:pPr>
                    <w:rPr>
                      <w:rFonts w:ascii="David" w:hAnsi="David"/>
                      <w:sz w:val="26"/>
                      <w:szCs w:val="26"/>
                      <w:rtl/>
                    </w:rPr>
                  </w:pPr>
                </w:p>
              </w:tc>
            </w:tr>
            <w:tr w:rsidR="00246A94" w:rsidTr="00246A94">
              <w:trPr>
                <w:trHeight w:val="355"/>
                <w:jc w:val="center"/>
              </w:trPr>
              <w:tc>
                <w:tcPr>
                  <w:tcW w:w="923" w:type="dxa"/>
                  <w:tcBorders>
                    <w:top w:val="nil"/>
                    <w:left w:val="nil"/>
                    <w:bottom w:val="nil"/>
                    <w:right w:val="nil"/>
                  </w:tcBorders>
                  <w:hideMark/>
                </w:tcPr>
                <w:p w:rsidR="00246A94" w:rsidRDefault="00246A94" w:rsidP="00246A94">
                  <w:pPr>
                    <w:jc w:val="both"/>
                    <w:rPr>
                      <w:rFonts w:ascii="David" w:hAnsi="David"/>
                      <w:sz w:val="26"/>
                      <w:szCs w:val="26"/>
                      <w:rtl/>
                    </w:rPr>
                  </w:pPr>
                  <w:r>
                    <w:rPr>
                      <w:rFonts w:ascii="David" w:hAnsi="David"/>
                      <w:sz w:val="26"/>
                      <w:szCs w:val="26"/>
                      <w:rtl/>
                    </w:rPr>
                    <w:t>בעניין:</w:t>
                  </w:r>
                </w:p>
              </w:tc>
              <w:tc>
                <w:tcPr>
                  <w:tcW w:w="3219" w:type="dxa"/>
                  <w:tcBorders>
                    <w:top w:val="nil"/>
                    <w:left w:val="nil"/>
                    <w:bottom w:val="nil"/>
                    <w:right w:val="nil"/>
                  </w:tcBorders>
                </w:tcPr>
                <w:p w:rsidR="00246A94" w:rsidRDefault="00246A94" w:rsidP="00246A94">
                  <w:pPr>
                    <w:suppressLineNumbers/>
                  </w:pPr>
                  <w:r>
                    <w:rPr>
                      <w:rFonts w:ascii="Arial" w:hAnsi="Arial"/>
                      <w:b/>
                      <w:bCs/>
                      <w:sz w:val="26"/>
                      <w:szCs w:val="26"/>
                      <w:rtl/>
                    </w:rPr>
                    <w:t>ה</w:t>
                  </w:r>
                  <w:sdt>
                    <w:sdtPr>
                      <w:rPr>
                        <w:rtl/>
                      </w:rPr>
                      <w:alias w:val="1180"/>
                      <w:tag w:val="1180"/>
                      <w:id w:val="637458750"/>
                      <w:text w:multiLine="1"/>
                    </w:sdtPr>
                    <w:sdtEndPr/>
                    <w:sdtContent>
                      <w:r>
                        <w:rPr>
                          <w:rFonts w:ascii="Arial" w:hAnsi="Arial"/>
                          <w:b/>
                          <w:bCs/>
                          <w:sz w:val="26"/>
                          <w:szCs w:val="26"/>
                          <w:rtl/>
                        </w:rPr>
                        <w:t>מאשימה</w:t>
                      </w:r>
                    </w:sdtContent>
                  </w:sdt>
                </w:p>
                <w:p w:rsidR="00246A94" w:rsidRDefault="00246A94" w:rsidP="00246A94">
                  <w:pPr>
                    <w:rPr>
                      <w:rFonts w:ascii="David" w:hAnsi="David"/>
                      <w:sz w:val="26"/>
                      <w:szCs w:val="26"/>
                    </w:rPr>
                  </w:pPr>
                </w:p>
              </w:tc>
              <w:tc>
                <w:tcPr>
                  <w:tcW w:w="4678" w:type="dxa"/>
                  <w:tcBorders>
                    <w:top w:val="nil"/>
                    <w:left w:val="nil"/>
                    <w:bottom w:val="nil"/>
                    <w:right w:val="nil"/>
                  </w:tcBorders>
                  <w:vAlign w:val="center"/>
                </w:tcPr>
                <w:p w:rsidR="00246A94" w:rsidRDefault="00C46B14" w:rsidP="00246A94">
                  <w:pPr>
                    <w:suppressLineNumbers/>
                  </w:pPr>
                  <w:sdt>
                    <w:sdtPr>
                      <w:rPr>
                        <w:rFonts w:ascii="Arial" w:hAnsi="Arial"/>
                        <w:b/>
                        <w:bCs/>
                        <w:sz w:val="26"/>
                        <w:szCs w:val="26"/>
                        <w:rtl/>
                      </w:rPr>
                      <w:alias w:val="3151"/>
                      <w:tag w:val="3151"/>
                      <w:id w:val="1166218717"/>
                      <w:placeholder>
                        <w:docPart w:val="3338C8962940478B97C53573A0F7FB8B"/>
                      </w:placeholder>
                      <w:text w:multiLine="1"/>
                    </w:sdtPr>
                    <w:sdtEndPr/>
                    <w:sdtContent>
                      <w:r w:rsidR="00246A94">
                        <w:rPr>
                          <w:rFonts w:ascii="Arial" w:hAnsi="Arial"/>
                          <w:b/>
                          <w:bCs/>
                          <w:sz w:val="26"/>
                          <w:szCs w:val="26"/>
                          <w:rtl/>
                        </w:rPr>
                        <w:t>מדינת ישראל</w:t>
                      </w:r>
                    </w:sdtContent>
                  </w:sdt>
                  <w:r w:rsidR="00246A94">
                    <w:rPr>
                      <w:rFonts w:ascii="Arial" w:hAnsi="Arial"/>
                      <w:b/>
                      <w:bCs/>
                      <w:sz w:val="26"/>
                      <w:szCs w:val="26"/>
                      <w:rtl/>
                    </w:rPr>
                    <w:t xml:space="preserve"> </w:t>
                  </w:r>
                </w:p>
                <w:p w:rsidR="00246A94" w:rsidRDefault="00246A94" w:rsidP="00246A94">
                  <w:pPr>
                    <w:suppressLineNumbers/>
                    <w:rPr>
                      <w:rtl/>
                    </w:rPr>
                  </w:pPr>
                  <w:r>
                    <w:rPr>
                      <w:rtl/>
                    </w:rPr>
                    <w:t>באמצעות פרקליטות מחוז מרכז</w:t>
                  </w:r>
                </w:p>
                <w:p w:rsidR="00246A94" w:rsidRDefault="00246A94" w:rsidP="00246A94">
                  <w:pPr>
                    <w:suppressLineNumbers/>
                    <w:rPr>
                      <w:rtl/>
                    </w:rPr>
                  </w:pPr>
                  <w:r>
                    <w:rPr>
                      <w:rtl/>
                    </w:rPr>
                    <w:t>ע"י עו"ד יצחק מורדוך</w:t>
                  </w:r>
                </w:p>
                <w:p w:rsidR="00246A94" w:rsidRDefault="00246A94" w:rsidP="00246A94">
                  <w:pPr>
                    <w:rPr>
                      <w:rFonts w:ascii="David" w:hAnsi="David"/>
                      <w:sz w:val="26"/>
                      <w:szCs w:val="26"/>
                    </w:rPr>
                  </w:pPr>
                </w:p>
              </w:tc>
            </w:tr>
            <w:tr w:rsidR="00246A94" w:rsidTr="00246A94">
              <w:trPr>
                <w:trHeight w:val="355"/>
                <w:jc w:val="center"/>
              </w:trPr>
              <w:tc>
                <w:tcPr>
                  <w:tcW w:w="923" w:type="dxa"/>
                  <w:tcBorders>
                    <w:top w:val="nil"/>
                    <w:left w:val="nil"/>
                    <w:bottom w:val="nil"/>
                    <w:right w:val="nil"/>
                  </w:tcBorders>
                </w:tcPr>
                <w:p w:rsidR="00246A94" w:rsidRDefault="00246A94" w:rsidP="00246A94">
                  <w:pPr>
                    <w:jc w:val="both"/>
                    <w:rPr>
                      <w:rFonts w:ascii="David" w:hAnsi="David"/>
                      <w:sz w:val="26"/>
                      <w:szCs w:val="26"/>
                    </w:rPr>
                  </w:pPr>
                </w:p>
              </w:tc>
              <w:tc>
                <w:tcPr>
                  <w:tcW w:w="7897" w:type="dxa"/>
                  <w:gridSpan w:val="2"/>
                  <w:tcBorders>
                    <w:top w:val="nil"/>
                    <w:left w:val="nil"/>
                    <w:bottom w:val="nil"/>
                    <w:right w:val="nil"/>
                  </w:tcBorders>
                </w:tcPr>
                <w:p w:rsidR="00246A94" w:rsidRDefault="00246A94" w:rsidP="00246A94">
                  <w:pPr>
                    <w:jc w:val="center"/>
                    <w:rPr>
                      <w:rFonts w:ascii="David" w:hAnsi="David"/>
                      <w:b/>
                      <w:bCs/>
                      <w:sz w:val="26"/>
                      <w:szCs w:val="26"/>
                      <w:rtl/>
                    </w:rPr>
                  </w:pPr>
                </w:p>
                <w:p w:rsidR="00246A94" w:rsidRDefault="00246A94" w:rsidP="00246A94">
                  <w:pPr>
                    <w:jc w:val="center"/>
                    <w:rPr>
                      <w:rFonts w:ascii="David" w:hAnsi="David"/>
                      <w:b/>
                      <w:bCs/>
                      <w:sz w:val="26"/>
                      <w:szCs w:val="26"/>
                      <w:rtl/>
                    </w:rPr>
                  </w:pPr>
                  <w:r>
                    <w:rPr>
                      <w:rFonts w:ascii="David" w:hAnsi="David"/>
                      <w:b/>
                      <w:bCs/>
                      <w:sz w:val="26"/>
                      <w:szCs w:val="26"/>
                      <w:rtl/>
                    </w:rPr>
                    <w:t>נגד</w:t>
                  </w:r>
                </w:p>
                <w:p w:rsidR="00246A94" w:rsidRDefault="00246A94" w:rsidP="00246A94">
                  <w:pPr>
                    <w:jc w:val="both"/>
                    <w:rPr>
                      <w:rFonts w:ascii="David" w:hAnsi="David"/>
                      <w:sz w:val="26"/>
                      <w:szCs w:val="26"/>
                      <w:rtl/>
                    </w:rPr>
                  </w:pPr>
                </w:p>
              </w:tc>
            </w:tr>
            <w:tr w:rsidR="00246A94" w:rsidTr="00246A94">
              <w:trPr>
                <w:trHeight w:val="355"/>
                <w:jc w:val="center"/>
              </w:trPr>
              <w:tc>
                <w:tcPr>
                  <w:tcW w:w="923" w:type="dxa"/>
                  <w:tcBorders>
                    <w:top w:val="nil"/>
                    <w:left w:val="nil"/>
                    <w:bottom w:val="nil"/>
                    <w:right w:val="nil"/>
                  </w:tcBorders>
                </w:tcPr>
                <w:p w:rsidR="00246A94" w:rsidRDefault="00246A94" w:rsidP="00246A94">
                  <w:pPr>
                    <w:rPr>
                      <w:rFonts w:ascii="David" w:hAnsi="David"/>
                      <w:sz w:val="26"/>
                      <w:szCs w:val="26"/>
                    </w:rPr>
                  </w:pPr>
                </w:p>
              </w:tc>
              <w:tc>
                <w:tcPr>
                  <w:tcW w:w="3219" w:type="dxa"/>
                  <w:tcBorders>
                    <w:top w:val="nil"/>
                    <w:left w:val="nil"/>
                    <w:bottom w:val="nil"/>
                    <w:right w:val="nil"/>
                  </w:tcBorders>
                  <w:hideMark/>
                </w:tcPr>
                <w:p w:rsidR="00246A94" w:rsidRDefault="00246A94" w:rsidP="00246A94">
                  <w:pPr>
                    <w:rPr>
                      <w:rFonts w:ascii="Arial" w:hAnsi="Arial"/>
                      <w:b/>
                      <w:bCs/>
                      <w:sz w:val="26"/>
                      <w:szCs w:val="26"/>
                      <w:rtl/>
                    </w:rPr>
                  </w:pPr>
                  <w:r>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tcPr>
                <w:p w:rsidR="00246A94" w:rsidRDefault="00C46B14" w:rsidP="00246A94">
                  <w:pPr>
                    <w:suppressLineNumbers/>
                    <w:rPr>
                      <w:rtl/>
                    </w:rPr>
                  </w:pPr>
                  <w:sdt>
                    <w:sdtPr>
                      <w:rPr>
                        <w:rFonts w:ascii="Arial" w:hAnsi="Arial"/>
                        <w:b/>
                        <w:bCs/>
                        <w:sz w:val="26"/>
                        <w:szCs w:val="26"/>
                        <w:rtl/>
                      </w:rPr>
                      <w:alias w:val="3152"/>
                      <w:tag w:val="3152"/>
                      <w:id w:val="-1346628691"/>
                      <w:placeholder>
                        <w:docPart w:val="0F3259FAB891495EA2C19E2158F76D6B"/>
                      </w:placeholder>
                      <w:text w:multiLine="1"/>
                    </w:sdtPr>
                    <w:sdtEndPr/>
                    <w:sdtContent>
                      <w:r w:rsidR="00246A94">
                        <w:rPr>
                          <w:rFonts w:ascii="Arial" w:hAnsi="Arial" w:hint="cs"/>
                          <w:b/>
                          <w:bCs/>
                          <w:sz w:val="26"/>
                          <w:szCs w:val="26"/>
                          <w:rtl/>
                        </w:rPr>
                        <w:t>פלוני</w:t>
                      </w:r>
                      <w:r w:rsidR="00246A94">
                        <w:rPr>
                          <w:rFonts w:ascii="Arial" w:hAnsi="Arial"/>
                          <w:b/>
                          <w:bCs/>
                          <w:sz w:val="26"/>
                          <w:szCs w:val="26"/>
                          <w:rtl/>
                        </w:rPr>
                        <w:t xml:space="preserve"> </w:t>
                      </w:r>
                    </w:sdtContent>
                  </w:sdt>
                  <w:r w:rsidR="00246A94">
                    <w:rPr>
                      <w:rFonts w:ascii="Arial" w:hAnsi="Arial"/>
                      <w:b/>
                      <w:bCs/>
                      <w:sz w:val="26"/>
                      <w:szCs w:val="26"/>
                      <w:rtl/>
                    </w:rPr>
                    <w:t xml:space="preserve"> </w:t>
                  </w:r>
                </w:p>
                <w:p w:rsidR="00246A94" w:rsidRDefault="00246A94" w:rsidP="00246A94">
                  <w:pPr>
                    <w:suppressLineNumbers/>
                    <w:rPr>
                      <w:rtl/>
                    </w:rPr>
                  </w:pPr>
                  <w:r>
                    <w:rPr>
                      <w:rtl/>
                    </w:rPr>
                    <w:t>ע"י עו"ד שירן ברגמן</w:t>
                  </w:r>
                </w:p>
                <w:p w:rsidR="00246A94" w:rsidRDefault="00246A94" w:rsidP="00246A94">
                  <w:pPr>
                    <w:rPr>
                      <w:rFonts w:ascii="David" w:hAnsi="David"/>
                      <w:sz w:val="26"/>
                      <w:szCs w:val="26"/>
                    </w:rPr>
                  </w:pPr>
                </w:p>
              </w:tc>
            </w:tr>
            <w:tr w:rsidR="00246A94" w:rsidTr="00246A94">
              <w:trPr>
                <w:trHeight w:val="355"/>
                <w:jc w:val="center"/>
              </w:trPr>
              <w:tc>
                <w:tcPr>
                  <w:tcW w:w="923" w:type="dxa"/>
                  <w:tcBorders>
                    <w:top w:val="nil"/>
                    <w:left w:val="nil"/>
                    <w:bottom w:val="nil"/>
                    <w:right w:val="nil"/>
                  </w:tcBorders>
                </w:tcPr>
                <w:p w:rsidR="00246A94" w:rsidRDefault="00246A94" w:rsidP="00246A94">
                  <w:pPr>
                    <w:jc w:val="both"/>
                    <w:rPr>
                      <w:rFonts w:ascii="David" w:hAnsi="David"/>
                      <w:sz w:val="26"/>
                      <w:szCs w:val="26"/>
                    </w:rPr>
                  </w:pPr>
                </w:p>
              </w:tc>
              <w:tc>
                <w:tcPr>
                  <w:tcW w:w="3219" w:type="dxa"/>
                  <w:tcBorders>
                    <w:top w:val="nil"/>
                    <w:left w:val="nil"/>
                    <w:bottom w:val="nil"/>
                    <w:right w:val="nil"/>
                  </w:tcBorders>
                </w:tcPr>
                <w:p w:rsidR="00246A94" w:rsidRDefault="00246A94" w:rsidP="00246A94">
                  <w:pPr>
                    <w:jc w:val="both"/>
                    <w:rPr>
                      <w:rFonts w:ascii="David" w:hAnsi="David"/>
                      <w:sz w:val="26"/>
                      <w:szCs w:val="26"/>
                      <w:rtl/>
                    </w:rPr>
                  </w:pPr>
                </w:p>
              </w:tc>
              <w:tc>
                <w:tcPr>
                  <w:tcW w:w="4678" w:type="dxa"/>
                  <w:tcBorders>
                    <w:top w:val="nil"/>
                    <w:left w:val="nil"/>
                    <w:bottom w:val="nil"/>
                    <w:right w:val="nil"/>
                  </w:tcBorders>
                </w:tcPr>
                <w:p w:rsidR="00246A94" w:rsidRDefault="00246A94" w:rsidP="00246A94">
                  <w:pPr>
                    <w:jc w:val="right"/>
                    <w:rPr>
                      <w:rFonts w:ascii="David" w:hAnsi="David"/>
                      <w:sz w:val="26"/>
                      <w:szCs w:val="26"/>
                      <w:rtl/>
                    </w:rPr>
                  </w:pPr>
                </w:p>
              </w:tc>
            </w:tr>
          </w:tbl>
          <w:p w:rsidR="00246A94" w:rsidRPr="00246A94" w:rsidRDefault="00246A94" w:rsidP="00246A94">
            <w:pPr>
              <w:jc w:val="center"/>
              <w:rPr>
                <w:u w:val="single"/>
              </w:rPr>
            </w:pPr>
            <w:r>
              <w:rPr>
                <w:rFonts w:hint="cs"/>
                <w:u w:val="single"/>
                <w:rtl/>
              </w:rPr>
              <w:t>נוסח זה של גזר הדין מותר בפרסום</w:t>
            </w:r>
          </w:p>
          <w:tbl>
            <w:tblPr>
              <w:tblStyle w:val="aa"/>
              <w:bidiVisual/>
              <w:tblW w:w="8820" w:type="dxa"/>
              <w:jc w:val="center"/>
              <w:tblLook w:val="01E0" w:firstRow="1" w:lastRow="1" w:firstColumn="1" w:lastColumn="1" w:noHBand="0" w:noVBand="0"/>
            </w:tblPr>
            <w:tblGrid>
              <w:gridCol w:w="8820"/>
            </w:tblGrid>
            <w:tr w:rsidR="00246A94" w:rsidTr="00246A94">
              <w:trPr>
                <w:trHeight w:val="355"/>
                <w:jc w:val="center"/>
              </w:trPr>
              <w:tc>
                <w:tcPr>
                  <w:tcW w:w="8820" w:type="dxa"/>
                  <w:tcBorders>
                    <w:top w:val="nil"/>
                    <w:left w:val="nil"/>
                    <w:bottom w:val="nil"/>
                    <w:right w:val="nil"/>
                  </w:tcBorders>
                  <w:hideMark/>
                </w:tcPr>
                <w:p w:rsidR="00246A94" w:rsidRDefault="00246A94" w:rsidP="00246A94">
                  <w:pPr>
                    <w:jc w:val="center"/>
                    <w:rPr>
                      <w:rFonts w:ascii="David" w:hAnsi="David"/>
                      <w:sz w:val="32"/>
                      <w:szCs w:val="32"/>
                      <w:u w:val="single"/>
                    </w:rPr>
                  </w:pPr>
                  <w:r>
                    <w:rPr>
                      <w:rFonts w:ascii="David" w:hAnsi="David"/>
                      <w:b/>
                      <w:bCs/>
                      <w:sz w:val="32"/>
                      <w:szCs w:val="32"/>
                      <w:u w:val="single"/>
                      <w:rtl/>
                    </w:rPr>
                    <w:t>גזר דין</w:t>
                  </w:r>
                </w:p>
              </w:tc>
            </w:tr>
          </w:tbl>
          <w:p w:rsidR="00246A94" w:rsidRDefault="00246A94" w:rsidP="00246A94">
            <w:pPr>
              <w:rPr>
                <w:rFonts w:ascii="Arial" w:hAnsi="Arial"/>
                <w:b/>
                <w:bCs/>
                <w:sz w:val="26"/>
                <w:szCs w:val="26"/>
                <w:rtl/>
              </w:rPr>
            </w:pPr>
          </w:p>
          <w:p w:rsidR="00246A94" w:rsidRDefault="00246A94" w:rsidP="00246A94">
            <w:pPr>
              <w:pStyle w:val="af0"/>
              <w:jc w:val="both"/>
              <w:rPr>
                <w:rtl/>
              </w:rPr>
            </w:pPr>
            <w:r>
              <w:rPr>
                <w:rtl/>
              </w:rPr>
              <w:t>רקע</w:t>
            </w:r>
          </w:p>
          <w:p w:rsidR="00246A94" w:rsidRDefault="00246A94" w:rsidP="00246A94">
            <w:pPr>
              <w:pStyle w:val="a"/>
              <w:jc w:val="both"/>
            </w:pPr>
            <w:r>
              <w:rPr>
                <w:rFonts w:hint="cs"/>
                <w:rtl/>
              </w:rPr>
              <w:t>נגד הנאשם הוגש כתב אישום האוחז בארבעה אישומים.  במסגרת האישומים 1-3 הואשם הנאשם בביצוע עבירות של מעשה מגונה ב-ב.ב, בתה הקטינה של בת זוגו (ילידת יוני 13'), בעת שהייתה בת 8-9, ובאישום הרביעי, בעבירות של ניסיון למעשים מגונים שביצע ב-ו.ו, בתם הקטינה של זוג חבריו (ילידת אוקטובר 08') בעת שהייתה בת 12.</w:t>
            </w:r>
          </w:p>
          <w:p w:rsidR="00246A94" w:rsidRDefault="00246A94" w:rsidP="00246A94">
            <w:pPr>
              <w:pStyle w:val="a"/>
              <w:jc w:val="both"/>
              <w:rPr>
                <w:rtl/>
              </w:rPr>
            </w:pPr>
            <w:r>
              <w:rPr>
                <w:rFonts w:hint="cs"/>
                <w:rtl/>
              </w:rPr>
              <w:t xml:space="preserve">הנאשם כפר במיוחס לו ובתיק נוהלו הוכחות. כמפורט בהכרעת דין הרשענו את הנאשם במיוחס לו במסגרת האישום הראשון בעבירה של </w:t>
            </w:r>
            <w:r>
              <w:rPr>
                <w:rFonts w:hint="cs"/>
                <w:b/>
                <w:bCs/>
                <w:rtl/>
              </w:rPr>
              <w:t>מעשה מגונה בקטינה בת משפחה</w:t>
            </w:r>
            <w:r>
              <w:rPr>
                <w:rFonts w:hint="cs"/>
                <w:rtl/>
              </w:rPr>
              <w:t xml:space="preserve">, לפי סעיף 351(ג)(2) בנסיבות סעיפים 348(ב), 345(ב)(1), 345(א)(1) וסעיף 345(א)(4)לחוק העונשין, תשל"ז-1977 (להלן: </w:t>
            </w:r>
            <w:r>
              <w:rPr>
                <w:rFonts w:hint="cs"/>
                <w:b/>
                <w:bCs/>
                <w:rtl/>
              </w:rPr>
              <w:t>החוק</w:t>
            </w:r>
            <w:r>
              <w:rPr>
                <w:rFonts w:hint="cs"/>
                <w:rtl/>
              </w:rPr>
              <w:t xml:space="preserve">), ובאישום הרביעי בעבירה של </w:t>
            </w:r>
            <w:r>
              <w:rPr>
                <w:rFonts w:hint="cs"/>
                <w:b/>
                <w:bCs/>
                <w:rtl/>
              </w:rPr>
              <w:t>ניסיון למעשה מגונה בקטינה</w:t>
            </w:r>
            <w:r>
              <w:rPr>
                <w:rFonts w:hint="cs"/>
                <w:rtl/>
              </w:rPr>
              <w:t xml:space="preserve">, לפי סעיף 348(ב) בנסיבות סעיפים 345(ב)(1) ו-345(א)(1) וסעיף 25 לחוק (שתי עבירות). </w:t>
            </w:r>
          </w:p>
          <w:p w:rsidR="00246A94" w:rsidRDefault="00246A94" w:rsidP="00246A94">
            <w:pPr>
              <w:pStyle w:val="a"/>
              <w:numPr>
                <w:ilvl w:val="0"/>
                <w:numId w:val="0"/>
              </w:numPr>
              <w:tabs>
                <w:tab w:val="left" w:pos="720"/>
              </w:tabs>
              <w:ind w:left="720"/>
              <w:jc w:val="both"/>
            </w:pPr>
            <w:r>
              <w:rPr>
                <w:rFonts w:hint="cs"/>
                <w:rtl/>
              </w:rPr>
              <w:t xml:space="preserve">על-פי המתואר בעובדות כתב האישום, הנאשם היה בן זוגה של אימה של הקטינה ב.ב, האם התגוררה בשכנות לנאשם עם ב.ב ועם אחותה של ב.ב, ילידת 2015, בהמשך נולד לשניים בן משותף. </w:t>
            </w:r>
            <w:r>
              <w:rPr>
                <w:rFonts w:hint="cs"/>
                <w:b/>
                <w:bCs/>
                <w:rtl/>
              </w:rPr>
              <w:t>על פי האישום הראשון</w:t>
            </w:r>
            <w:r>
              <w:rPr>
                <w:rFonts w:hint="cs"/>
                <w:rtl/>
              </w:rPr>
              <w:t xml:space="preserve">, ביום 23.2.22 בשעות הערב המאוחרות, בעת ש-ב.ב, אז בת 8.5, ישנה לבדה על הספה בסלון, התקרב הנאשם לעברה, הפשיל את מכנסיו ותחתוניו וחשף את איבר מינו. בהמשך בעודה ישנה, אחז הנאשם בידה של ב.ב והניחה על איבר מינו החשוף. ב.ב הזיזה את ידה, אחזה את בובתהּ וחזרה לישון. בעקבות כך, </w:t>
            </w:r>
            <w:r>
              <w:rPr>
                <w:rFonts w:hint="cs"/>
                <w:b/>
                <w:bCs/>
                <w:rtl/>
              </w:rPr>
              <w:t>הנאשם אחז את ידה בשנית והניחה על איבר מינו</w:t>
            </w:r>
            <w:r>
              <w:rPr>
                <w:rFonts w:hint="cs"/>
                <w:rtl/>
              </w:rPr>
              <w:t xml:space="preserve"> תוך שהוא מנענע את ידה על איבר מינו החשוף. הקטינה התעוררה וכאשר הבחינה בו, הרים הנאשם את מכנסיו ורץ לאחד מחדרי הבית. </w:t>
            </w:r>
          </w:p>
          <w:p w:rsidR="00246A94" w:rsidRDefault="00246A94" w:rsidP="00246A94">
            <w:pPr>
              <w:pStyle w:val="a"/>
              <w:numPr>
                <w:ilvl w:val="0"/>
                <w:numId w:val="0"/>
              </w:numPr>
              <w:tabs>
                <w:tab w:val="left" w:pos="720"/>
              </w:tabs>
              <w:ind w:left="720"/>
              <w:jc w:val="both"/>
            </w:pPr>
            <w:r>
              <w:rPr>
                <w:rFonts w:hint="cs"/>
                <w:b/>
                <w:bCs/>
                <w:rtl/>
              </w:rPr>
              <w:lastRenderedPageBreak/>
              <w:t>על פי האישום הרביעי</w:t>
            </w:r>
            <w:r>
              <w:rPr>
                <w:rFonts w:hint="cs"/>
                <w:rtl/>
              </w:rPr>
              <w:t xml:space="preserve"> – אשר מתייחס למתלוננת ו.ו – בין הנאשם לבין הוריה של ו.ו (קטינה ילידת אוקטובר 08', בת 12 באותה עת) היו יחסי חברות. בחודש יולי 20', הגיע הנאשם לביתה של ו.ו עת שהתה בו לבדה ושכבה על הספה בסלון. הנאשם התיישב על הספה ליד ו.ו והציע לה להתנסות בנשיקה בפה. ו.ו השיבה בשלילה, קמה והתרחקה מהנאשם. הנאשם פנה אליה בשנית והציע לה לגעת באיבר מינו אך זו לא נענתה להצעותיו. בתגובה לכך, קם הנאשם נישק את ו.ו במצחה ועזב את הבית. </w:t>
            </w:r>
          </w:p>
          <w:p w:rsidR="00246A94" w:rsidRDefault="00246A94" w:rsidP="00246A94">
            <w:pPr>
              <w:pStyle w:val="a"/>
              <w:jc w:val="both"/>
              <w:rPr>
                <w:rtl/>
              </w:rPr>
            </w:pPr>
            <w:r>
              <w:rPr>
                <w:rFonts w:hint="cs"/>
                <w:rtl/>
              </w:rPr>
              <w:t xml:space="preserve">זיכינו את הנאשם מהמיוחס לו באישומים השני והשלישי בכתב האישום, המתייחסים אף הם למתלוננת ב.ב., אשר לא העידה במשפט, וחוקרת הילדים התקשתה להעריך את מהימנותה בנוגע למעשים אלה. </w:t>
            </w:r>
          </w:p>
          <w:p w:rsidR="00246A94" w:rsidRDefault="00246A94" w:rsidP="00246A94">
            <w:pPr>
              <w:pStyle w:val="a"/>
              <w:numPr>
                <w:ilvl w:val="0"/>
                <w:numId w:val="0"/>
              </w:numPr>
              <w:tabs>
                <w:tab w:val="left" w:pos="720"/>
              </w:tabs>
              <w:ind w:left="720"/>
              <w:jc w:val="both"/>
              <w:rPr>
                <w:b/>
                <w:bCs/>
                <w:u w:val="single"/>
                <w:rtl/>
              </w:rPr>
            </w:pPr>
            <w:r>
              <w:rPr>
                <w:rFonts w:hint="cs"/>
                <w:b/>
                <w:bCs/>
                <w:u w:val="single"/>
                <w:rtl/>
              </w:rPr>
              <w:t>תסקיר נפגעת עבירה ב.ב</w:t>
            </w:r>
          </w:p>
          <w:p w:rsidR="00246A94" w:rsidRDefault="00246A94" w:rsidP="00246A94">
            <w:pPr>
              <w:pStyle w:val="a"/>
              <w:jc w:val="both"/>
            </w:pPr>
            <w:r>
              <w:rPr>
                <w:rFonts w:hint="cs"/>
                <w:rtl/>
              </w:rPr>
              <w:t xml:space="preserve">[הושמט]. </w:t>
            </w:r>
          </w:p>
          <w:p w:rsidR="00246A94" w:rsidRDefault="00246A94" w:rsidP="00246A94">
            <w:pPr>
              <w:pStyle w:val="a"/>
              <w:numPr>
                <w:ilvl w:val="0"/>
                <w:numId w:val="0"/>
              </w:numPr>
              <w:tabs>
                <w:tab w:val="left" w:pos="720"/>
              </w:tabs>
              <w:ind w:left="720"/>
              <w:jc w:val="both"/>
            </w:pPr>
          </w:p>
          <w:p w:rsidR="00246A94" w:rsidRDefault="00246A94" w:rsidP="00246A94">
            <w:pPr>
              <w:pStyle w:val="a"/>
              <w:numPr>
                <w:ilvl w:val="0"/>
                <w:numId w:val="0"/>
              </w:numPr>
              <w:tabs>
                <w:tab w:val="left" w:pos="720"/>
              </w:tabs>
              <w:ind w:left="720"/>
              <w:jc w:val="both"/>
              <w:rPr>
                <w:b/>
                <w:bCs/>
                <w:u w:val="single"/>
              </w:rPr>
            </w:pPr>
            <w:r>
              <w:rPr>
                <w:rFonts w:hint="cs"/>
                <w:b/>
                <w:bCs/>
                <w:u w:val="single"/>
                <w:rtl/>
              </w:rPr>
              <w:t>תמצית טיעוני הצדדים לעונש</w:t>
            </w:r>
          </w:p>
          <w:p w:rsidR="00246A94" w:rsidRDefault="00246A94" w:rsidP="00246A94">
            <w:pPr>
              <w:pStyle w:val="a"/>
              <w:jc w:val="both"/>
            </w:pPr>
            <w:r>
              <w:rPr>
                <w:rFonts w:hint="cs"/>
                <w:b/>
                <w:bCs/>
                <w:rtl/>
              </w:rPr>
              <w:t>ב"כ המאשימה,</w:t>
            </w:r>
            <w:r>
              <w:rPr>
                <w:rFonts w:hint="cs"/>
                <w:rtl/>
              </w:rPr>
              <w:t xml:space="preserve"> עו"ד יצחק מורדוך, עמד בטיעוניו לעונש על חומרת מעשי הנאשם, שפגע בשתי קטינות ובשורה ארוכה של ערכים מוגנים ובהם פגיעה בפרטיות הקטינות, בשלומן הפיזי והנפשי, בתחושת הביטחון שלהן ובתחושת הביטחון בתא המשפחתי. אשר לב.ב נטען כי מדובר בקטינה רכה בשנים, העבירות בוצעו בביתה של הקטינה, מקום שהיה אמור להגן עליה, ע"י הנאשם ששימש לה כאב שני. רף חומרת המעשים גבוה, והנזק שנגרם לב.ב, כעולה מתסקיר הנפגעת, רב. אשר לו.ו, נטען כי הנאשם ניצל את קרבתו להוריה, אמנם הוא אינו בן משפחה אך הקטינה ראתה בו דוד וחשה בנוחות בסביבתו. גם באישום זה פער הגילים משמעותי, ו.ו הייתה בת 11 במועד ביצוע המעשים ואף לה נגרם נזק, אם כי לא התבקש לערוך תסקיר בעניינה. המאשימה ביקשה לקבוע מתחם נפרד לכל אחד מהאישומים, </w:t>
            </w:r>
            <w:r>
              <w:rPr>
                <w:rFonts w:hint="cs"/>
                <w:u w:val="single"/>
                <w:rtl/>
              </w:rPr>
              <w:t xml:space="preserve">לגבי האישום הראשון </w:t>
            </w:r>
            <w:r>
              <w:rPr>
                <w:rFonts w:hint="cs"/>
                <w:rtl/>
              </w:rPr>
              <w:t xml:space="preserve">- צוין כי העונש המזערי הוא בן 45 חודשי מאסר. בהתחשב בחומרת המעשים, הפגיעה בב.ב ומדיניות הענישה הנוהגת עתרה המאשימה למתחם ענישה הנע בין 4-6 שנות מאסר, לצד מאסר על תנאי ופיצוי משמעותי. </w:t>
            </w:r>
            <w:r>
              <w:rPr>
                <w:rFonts w:hint="cs"/>
                <w:u w:val="single"/>
                <w:rtl/>
              </w:rPr>
              <w:t>אשר לאישום הרביעי</w:t>
            </w:r>
            <w:r>
              <w:rPr>
                <w:rFonts w:hint="cs"/>
                <w:rtl/>
              </w:rPr>
              <w:t xml:space="preserve">, מדובר בעבירת ניסיון שאין בגינה עונש מזערי. המאשימה הפנתה לפסיקה ועתרה נוכח נסיבות המעשה למתחם ענישה הנע בין 15-24 חודשי מאסר לצד ענישה נלווית. הנאשם בעל עבר פלילי אך לא בעבירות מין, לא התקבל בעניינו תסקיר, הכחיש את המיוחס לו, במהלך המשפט הרבה לצחוק באופן לא מותאם ולא גילה אחריות או אמפתיה לקטינות ובני משפחתן. לפיכך עתרה המאשימה למקם את עונשו של הנאשם במרכז המתחם, ולעונש כולל בן 5.5 שנות מאסר לצד מאסר על תנאי ופיצוי לשתי המתלוננות. </w:t>
            </w:r>
          </w:p>
          <w:p w:rsidR="00246A94" w:rsidRDefault="00246A94" w:rsidP="00246A94">
            <w:pPr>
              <w:pStyle w:val="a"/>
              <w:jc w:val="both"/>
            </w:pPr>
            <w:r>
              <w:rPr>
                <w:rFonts w:hint="cs"/>
                <w:b/>
                <w:bCs/>
                <w:rtl/>
              </w:rPr>
              <w:t>ב"כ הנאשם,</w:t>
            </w:r>
            <w:r>
              <w:rPr>
                <w:rFonts w:hint="cs"/>
                <w:rtl/>
              </w:rPr>
              <w:t xml:space="preserve"> עו"ד שירן ברגמן, עתר להסתפק בעונש מתון החופף את תקופת מעצרו של הנאשם, שעצור מעל שנתיים. ב"כ הנאשם הסכים כי יש לקבוע שני מתחמי ענישה, לגבי האישום הראשון נטען שמדובר באירוע יחיד שלא הופעלה בו אלימות, ללא נגיעות באיבריה האינטימיים של ב.ב. עוד הפנה לפסיקה שבה הוטלו על נאשמים מאסרים קצרים וביקש כי חלק מהעונש המזערי יינתן בדרך של מאסר על תנאי. עוד ביקש לתת משקל משמעותי לכך שהנאשם זוכה משני אישומים ועל כן מוצדק היה לנהל את הליך ההוכחות. לגבי האישום הרביעי נטען כי </w:t>
            </w:r>
            <w:r>
              <w:rPr>
                <w:rFonts w:hint="cs"/>
                <w:rtl/>
              </w:rPr>
              <w:lastRenderedPageBreak/>
              <w:t xml:space="preserve">מדובר בעבירת ניסיון. לגבי אישום זה עתרה ההגנה למתחם ענישה שנע בין מספר חודשי מאסר ועד ל-9 חודשי מאסר ולמיקום עונשו של הנאשם בשליש התחתון. הנאשם עצור לראשונה בחייו תקופה ממושכת, עברו הפלילי אינו רלבנטי, עובר למעצרו ניהל אורח חיים נורמטיבי ועבד כפועל במה. עוד ביקש ב"כ הנאשם להתחשב בנסיבות הנאשם ולהסתפק בהשתת פיצוי מידתי ומינימלי. </w:t>
            </w:r>
          </w:p>
          <w:p w:rsidR="00246A94" w:rsidRDefault="00246A94" w:rsidP="00246A94">
            <w:pPr>
              <w:spacing w:after="120" w:line="360" w:lineRule="auto"/>
              <w:ind w:firstLine="425"/>
              <w:jc w:val="both"/>
              <w:rPr>
                <w:rFonts w:ascii="David" w:hAnsi="David"/>
                <w:b/>
                <w:bCs/>
                <w:u w:val="single"/>
              </w:rPr>
            </w:pPr>
            <w:r>
              <w:rPr>
                <w:rFonts w:ascii="David" w:hAnsi="David"/>
                <w:b/>
                <w:bCs/>
                <w:u w:val="single"/>
                <w:rtl/>
              </w:rPr>
              <w:t>דיון והכרעה</w:t>
            </w:r>
          </w:p>
          <w:p w:rsidR="00246A94" w:rsidRDefault="00246A94" w:rsidP="00246A94">
            <w:pPr>
              <w:pStyle w:val="a"/>
              <w:jc w:val="both"/>
            </w:pPr>
            <w:r>
              <w:rPr>
                <w:rFonts w:hint="cs"/>
                <w:rtl/>
              </w:rPr>
              <w:t xml:space="preserve">הנאשם הורשע בשני אישומים שונים. עתירת המאשימה לסיווג מעשיו השונים לאירועים נפרדים, קביעת מתחם נפרד לכל אישום וקביעת עונש כולל מקובלת עלינו ומתיישבת היטב עם מדיניות הפסיקה (ע"פ 4910/13 </w:t>
            </w:r>
            <w:r>
              <w:rPr>
                <w:rFonts w:hint="cs"/>
                <w:b/>
                <w:bCs/>
                <w:rtl/>
              </w:rPr>
              <w:t>ג'אבר נ' מדינת ישראל</w:t>
            </w:r>
            <w:r>
              <w:rPr>
                <w:rFonts w:hint="cs"/>
                <w:rtl/>
              </w:rPr>
              <w:t xml:space="preserve">, 29.10.2014; ע"פ 5617/19 </w:t>
            </w:r>
            <w:r>
              <w:rPr>
                <w:rFonts w:hint="cs"/>
                <w:b/>
                <w:bCs/>
                <w:rtl/>
              </w:rPr>
              <w:t>פלוני נ' מדינת ישראל</w:t>
            </w:r>
            <w:r>
              <w:rPr>
                <w:rFonts w:hint="cs"/>
                <w:rtl/>
              </w:rPr>
              <w:t xml:space="preserve"> פ' 27 לפסק דינו של כב' השופט י' אלרון). הנאשם פגע במתלוננות שונות, ב.ב היא בתה של בת זוגו ואם בנו, ו.ו בתם של חבריו הקרובים, והגם שפעל בדפוס פעולה דומה, קיימים הבדלים בין מעשיו (ע"פ 1228/17 </w:t>
            </w:r>
            <w:r>
              <w:rPr>
                <w:rFonts w:hint="cs"/>
                <w:b/>
                <w:bCs/>
                <w:rtl/>
              </w:rPr>
              <w:t>מדינת ישראל נ' שנהר</w:t>
            </w:r>
            <w:r>
              <w:rPr>
                <w:rFonts w:hint="cs"/>
                <w:rtl/>
              </w:rPr>
              <w:t xml:space="preserve">, פסקה 22, 3.10.2017; ע"פ 512/13 </w:t>
            </w:r>
            <w:r>
              <w:rPr>
                <w:rFonts w:hint="cs"/>
                <w:b/>
                <w:bCs/>
                <w:rtl/>
              </w:rPr>
              <w:t>פלוני נ' מדינת ישראל</w:t>
            </w:r>
            <w:r>
              <w:rPr>
                <w:rFonts w:hint="cs"/>
                <w:rtl/>
              </w:rPr>
              <w:t xml:space="preserve">, פסקאות 21-22 (4.12.2013)). </w:t>
            </w:r>
          </w:p>
          <w:p w:rsidR="00246A94" w:rsidRDefault="00246A94" w:rsidP="00246A94">
            <w:pPr>
              <w:pStyle w:val="af"/>
              <w:rPr>
                <w:rtl/>
              </w:rPr>
            </w:pPr>
          </w:p>
          <w:p w:rsidR="00246A94" w:rsidRDefault="00246A94" w:rsidP="00246A94">
            <w:pPr>
              <w:pStyle w:val="a"/>
              <w:jc w:val="both"/>
              <w:rPr>
                <w:rtl/>
              </w:rPr>
            </w:pPr>
            <w:r>
              <w:rPr>
                <w:rFonts w:hint="cs"/>
                <w:rtl/>
              </w:rPr>
              <w:t xml:space="preserve">הנאשם, כבן 40 במועד ביצוע העבירות, הורשע בפגיעה מינית בשתי קטינות. ב.ב בעת שהייתה בגילאי 8-9, ו-ו.ו בעת שהייתה בת 11. מעשיו פגעו בשורה ארוכה של ערכים מוגנים, בהם כבודן ופרטיותן של המתלוננות, זכותן לאוטונומיה על גופן, בשלומן ובשלוות חייהן. בעניינה של ב.ב פגע הנאשם פגישה קשה גם בערכים הנוגעים לביטחונה בתא המשפחתי ובמבוגרים האמונים על שלומה. הנאשם ניצל את קרבתו לב.ב, ואת אמונה של המתלוננת שראתה בו דמות אב, בעניינה של ו.ו ניצל את  האמון שרחשה לו משפחתה. את המעשים כלפי המתלוננות ביצע הנאשם בביתן מבצרן. </w:t>
            </w:r>
          </w:p>
          <w:p w:rsidR="00246A94" w:rsidRDefault="00246A94" w:rsidP="00246A94">
            <w:pPr>
              <w:spacing w:after="120" w:line="360" w:lineRule="auto"/>
              <w:ind w:left="788"/>
              <w:jc w:val="both"/>
              <w:rPr>
                <w:rFonts w:ascii="David" w:hAnsi="David"/>
                <w:color w:val="000000"/>
                <w:spacing w:val="10"/>
                <w:rtl/>
              </w:rPr>
            </w:pPr>
            <w:r>
              <w:rPr>
                <w:rFonts w:ascii="David" w:hAnsi="David"/>
                <w:color w:val="000000"/>
                <w:spacing w:val="10"/>
                <w:rtl/>
              </w:rPr>
              <w:t xml:space="preserve">בית משפט העליון עמד פעמים רבות על החומרה הגלומה בביצוע עבירות מין בקטינים, על אחת כמה וכמה בני משפחה, תוך ניצול יחסי האמון והקרבה בין הפוגע לנפגע, </w:t>
            </w:r>
            <w:r>
              <w:rPr>
                <w:b/>
                <w:bCs/>
                <w:rtl/>
              </w:rPr>
              <w:t>"חומרה יתרה נודעת לעבירות מין המבוצעות בקטינים, המתאפיינות בניצול פערי הכוחות האינהרנטיים בין קטין לבגיר ובניצול תמימותו הטבעית של הקטין לסיפוק יצריו של הפוגע. אף הנזקים הנגרמים מעבירות אלו נוטים להיות חמורים יותר, משום שהן פוגעות בנפשו של הקטין בשלב בו טרם התגבשה אישיותו באופן סופי</w:t>
            </w:r>
            <w:r>
              <w:rPr>
                <w:b/>
                <w:bCs/>
              </w:rPr>
              <w:t>,</w:t>
            </w:r>
            <w:r>
              <w:rPr>
                <w:b/>
                <w:bCs/>
                <w:rtl/>
              </w:rPr>
              <w:t xml:space="preserve"> </w:t>
            </w:r>
            <w:r>
              <w:rPr>
                <w:rFonts w:hint="cs"/>
                <w:b/>
                <w:bCs/>
                <w:rtl/>
              </w:rPr>
              <w:t xml:space="preserve">ומותירות בו צלקות עמוקות" </w:t>
            </w:r>
            <w:r>
              <w:rPr>
                <w:rtl/>
              </w:rPr>
              <w:t>(ע"פ 6882/14</w:t>
            </w:r>
            <w:r>
              <w:rPr>
                <w:b/>
                <w:bCs/>
                <w:rtl/>
              </w:rPr>
              <w:t xml:space="preserve"> פלוני נ' מדינת ישראל, </w:t>
            </w:r>
            <w:r>
              <w:rPr>
                <w:rtl/>
              </w:rPr>
              <w:t xml:space="preserve">פסקה 17 (11.11.2015)). </w:t>
            </w:r>
            <w:r>
              <w:rPr>
                <w:rFonts w:ascii="David" w:hAnsi="David"/>
                <w:color w:val="000000"/>
                <w:spacing w:val="10"/>
                <w:rtl/>
              </w:rPr>
              <w:t>כן נקבע, כי במקרים אלה יש לתת את הבכורה לשיקולי גמול והרתעה על פני נסיבותיו האישיות של הפוגע (ראו למשל,</w:t>
            </w:r>
            <w:r>
              <w:rPr>
                <w:rtl/>
              </w:rPr>
              <w:t xml:space="preserve"> ע"פ 8153/19 </w:t>
            </w:r>
            <w:r>
              <w:rPr>
                <w:b/>
                <w:bCs/>
                <w:rtl/>
              </w:rPr>
              <w:t>פלוני נ' מדינת ישראל</w:t>
            </w:r>
            <w:r>
              <w:rPr>
                <w:rtl/>
              </w:rPr>
              <w:t xml:space="preserve">, פסקה 45 (20.10.2020); </w:t>
            </w:r>
            <w:r>
              <w:rPr>
                <w:rFonts w:ascii="David" w:hAnsi="David"/>
                <w:color w:val="000000"/>
                <w:spacing w:val="10"/>
                <w:rtl/>
              </w:rPr>
              <w:t xml:space="preserve">ע"פ 8687/21 </w:t>
            </w:r>
            <w:r>
              <w:rPr>
                <w:rFonts w:ascii="David" w:hAnsi="David"/>
                <w:b/>
                <w:bCs/>
                <w:color w:val="000000"/>
                <w:spacing w:val="10"/>
                <w:rtl/>
              </w:rPr>
              <w:t xml:space="preserve"> פלוני נ' מדינת ישראל</w:t>
            </w:r>
            <w:r>
              <w:rPr>
                <w:rFonts w:ascii="David" w:hAnsi="David"/>
                <w:color w:val="000000"/>
                <w:spacing w:val="10"/>
                <w:rtl/>
              </w:rPr>
              <w:t>, פסקה 12  (29.8.2021)), וכי על הענישה "</w:t>
            </w:r>
            <w:r>
              <w:rPr>
                <w:rFonts w:ascii="David" w:hAnsi="David"/>
                <w:b/>
                <w:bCs/>
                <w:color w:val="000000"/>
                <w:spacing w:val="10"/>
                <w:rtl/>
              </w:rPr>
              <w:t>לבטא סלידה עמוקה והוקעה חברתית, לזעוק את זעקת הקורבנות, לייצר תיקון מוסרי – ובעיקר לבודד ולהרתיע עבריינים פוטנציאליים, בפרט אלה הפוגעים בקטינים בתוך המשפחה</w:t>
            </w:r>
            <w:r>
              <w:rPr>
                <w:rFonts w:ascii="David" w:hAnsi="David"/>
                <w:color w:val="000000"/>
                <w:spacing w:val="10"/>
                <w:rtl/>
              </w:rPr>
              <w:t>" (</w:t>
            </w:r>
            <w:r>
              <w:rPr>
                <w:rFonts w:ascii="David" w:hAnsi="David"/>
                <w:b/>
                <w:bCs/>
                <w:color w:val="000000"/>
                <w:spacing w:val="10"/>
                <w:rtl/>
              </w:rPr>
              <w:t>ע"פ 5617/19 מדינת ישראל נ' פלוני</w:t>
            </w:r>
            <w:r>
              <w:rPr>
                <w:rFonts w:ascii="David" w:hAnsi="David"/>
                <w:color w:val="000000"/>
                <w:spacing w:val="10"/>
                <w:rtl/>
              </w:rPr>
              <w:t>, פסקה 26 (26.8.2021)).</w:t>
            </w:r>
          </w:p>
          <w:p w:rsidR="00246A94" w:rsidRDefault="00246A94" w:rsidP="00246A94">
            <w:pPr>
              <w:pStyle w:val="af"/>
              <w:spacing w:line="360" w:lineRule="auto"/>
              <w:jc w:val="both"/>
              <w:rPr>
                <w:b/>
                <w:bCs/>
                <w:rtl/>
              </w:rPr>
            </w:pPr>
          </w:p>
          <w:p w:rsidR="00246A94" w:rsidRDefault="00246A94" w:rsidP="00246A94">
            <w:pPr>
              <w:pStyle w:val="a"/>
              <w:ind w:left="714"/>
              <w:jc w:val="both"/>
              <w:rPr>
                <w:rtl/>
              </w:rPr>
            </w:pPr>
            <w:r>
              <w:rPr>
                <w:rFonts w:hint="cs"/>
                <w:rtl/>
              </w:rPr>
              <w:t>עוד נזכיר בהקשר האישום הראשון את הוראת סעיף 355 לחוק המורה על הטלת עונש מזערי בעבירות מין בהן הורשע הנאשם ש"</w:t>
            </w:r>
            <w:r>
              <w:rPr>
                <w:rFonts w:hint="cs"/>
                <w:b/>
                <w:bCs/>
                <w:rtl/>
              </w:rPr>
              <w:t xml:space="preserve">לא יפחת עונשו מרבע העונש המרבי שנקבע לאותה עבירה, אלא אם כן החליט בית המשפט, </w:t>
            </w:r>
            <w:r>
              <w:rPr>
                <w:rFonts w:hint="cs"/>
                <w:b/>
                <w:bCs/>
                <w:rtl/>
              </w:rPr>
              <w:lastRenderedPageBreak/>
              <w:t>מטעמים מיוחדים שיירשמו, להקל בעונשו</w:t>
            </w:r>
            <w:r>
              <w:t>".</w:t>
            </w:r>
            <w:r>
              <w:rPr>
                <w:rFonts w:hint="cs"/>
                <w:rtl/>
              </w:rPr>
              <w:t xml:space="preserve"> בענייננו, העונש המזערי בגין המעשה המפורט באישום הראשון הוא מאסר בן 45 חודשים. במסגרת האישום הרביעי הורשע הנאשם בעבירת ניסיון למעשה מגונה, ובהתאם להוראת סעיף 27 לחוק, לא חל עליה עונש מזערי.  </w:t>
            </w:r>
          </w:p>
          <w:p w:rsidR="00246A94" w:rsidRDefault="00246A94" w:rsidP="00246A94">
            <w:pPr>
              <w:pStyle w:val="a"/>
              <w:numPr>
                <w:ilvl w:val="0"/>
                <w:numId w:val="0"/>
              </w:numPr>
              <w:tabs>
                <w:tab w:val="left" w:pos="720"/>
              </w:tabs>
              <w:ind w:left="720"/>
              <w:jc w:val="both"/>
            </w:pPr>
          </w:p>
          <w:p w:rsidR="00246A94" w:rsidRDefault="00246A94" w:rsidP="00246A94">
            <w:pPr>
              <w:pStyle w:val="a"/>
              <w:rPr>
                <w:rtl/>
              </w:rPr>
            </w:pPr>
            <w:r>
              <w:rPr>
                <w:rFonts w:hint="cs"/>
                <w:rtl/>
              </w:rPr>
              <w:t>נסיבות מעשיו של הנאשם, גם לאחר שזוכה מהמיוחס לו באישומים 2-3, נותרו חמורות:</w:t>
            </w:r>
          </w:p>
          <w:p w:rsidR="00246A94" w:rsidRDefault="00246A94" w:rsidP="00246A94">
            <w:pPr>
              <w:pStyle w:val="af"/>
              <w:rPr>
                <w:b/>
                <w:bCs/>
              </w:rPr>
            </w:pPr>
          </w:p>
          <w:p w:rsidR="00246A94" w:rsidRDefault="00246A94" w:rsidP="00246A94">
            <w:pPr>
              <w:pStyle w:val="af"/>
              <w:spacing w:line="360" w:lineRule="auto"/>
              <w:jc w:val="both"/>
            </w:pPr>
            <w:r>
              <w:rPr>
                <w:b/>
                <w:bCs/>
                <w:rtl/>
              </w:rPr>
              <w:t>הנאשם פגע מינית בשתי קטינות</w:t>
            </w:r>
            <w:r>
              <w:rPr>
                <w:rtl/>
              </w:rPr>
              <w:t xml:space="preserve"> בשתי תקופות זמן, הקטינות צעירות בשנים. </w:t>
            </w:r>
            <w:r>
              <w:rPr>
                <w:b/>
                <w:bCs/>
                <w:rtl/>
              </w:rPr>
              <w:t xml:space="preserve">זאת עשה תוך ניצול פער הגילים, מעמדו, קרבתו אליהן ונגישותו לביתן. </w:t>
            </w:r>
            <w:r>
              <w:rPr>
                <w:rtl/>
              </w:rPr>
              <w:t xml:space="preserve">אשר לב.ב, באותה תקופה עבר הנאשם להתגורר בדירת אמה של ב.ב וניהל עם האם קשר זוגי, חלק מהזמן הייתה האם בהיריון. אשר לו.ו, הנאשם היה חברם הטוב של הוריה, הרבה לבקר בביתם, בעדותה סיפרה ו.ו כי ראתה בו בן בית קרוב אליה וחשה נוחות בסביבתו (עדותה, עמ' 64). ביום הפגיעה הגיע הנאשם לביתה, בזמן ששהתה בו לבדה, כדי להחזיר מפתחות רכב להוריה וניצל את שהותו בדירה, ללא נוכחות הוריה, לביצוע המעשה המיני בה. </w:t>
            </w:r>
          </w:p>
          <w:p w:rsidR="00246A94" w:rsidRDefault="00246A94" w:rsidP="00246A94">
            <w:pPr>
              <w:pStyle w:val="af"/>
              <w:spacing w:line="360" w:lineRule="auto"/>
              <w:jc w:val="both"/>
              <w:rPr>
                <w:rtl/>
              </w:rPr>
            </w:pPr>
          </w:p>
          <w:p w:rsidR="00246A94" w:rsidRDefault="00246A94" w:rsidP="00246A94">
            <w:pPr>
              <w:pStyle w:val="af"/>
              <w:spacing w:line="360" w:lineRule="auto"/>
              <w:jc w:val="both"/>
              <w:rPr>
                <w:rtl/>
              </w:rPr>
            </w:pPr>
            <w:r>
              <w:rPr>
                <w:rtl/>
              </w:rPr>
              <w:t xml:space="preserve">הנאשם ניצל את האמון שרחשה לו אמה של ב.ב, באותה תקופה ששימש בן זוגה והיא נשאה ברחמה את בנם המשותף, וכן את האמון שנתנו בו הוריה של ו.ו שראו בו חבר קרוב. אמה של ו.ו סיפרה בעדותה כי ראתה בו בן משפחה, ביתם היה תמיד פתוח בשבילו, הם סייעו לו כל אימת שנזקק לעזרה והיו נוהגים להשאיל לו את רכבם (עדותה, עמ' 23-34). בשני המקרים הנאשם ניצל את קרבתו למשפחת הקטינות ואת האפשרות לשהות במחיצת הקטינות לבדו כדי לבצע את מעשיו ללא מאמץ וללא חשש.   </w:t>
            </w:r>
          </w:p>
          <w:p w:rsidR="00246A94" w:rsidRDefault="00246A94" w:rsidP="00246A94">
            <w:pPr>
              <w:pStyle w:val="af"/>
              <w:spacing w:line="360" w:lineRule="auto"/>
              <w:jc w:val="both"/>
              <w:rPr>
                <w:rtl/>
              </w:rPr>
            </w:pPr>
          </w:p>
          <w:p w:rsidR="00246A94" w:rsidRDefault="00246A94" w:rsidP="00246A94">
            <w:pPr>
              <w:spacing w:line="360" w:lineRule="auto"/>
              <w:ind w:left="720"/>
              <w:jc w:val="both"/>
              <w:rPr>
                <w:rtl/>
              </w:rPr>
            </w:pPr>
            <w:r>
              <w:rPr>
                <w:rtl/>
              </w:rPr>
              <w:t xml:space="preserve">אשר לטיב המעשים המיניים שביצע בקטינות, במסגרת האישום הראשון ביצע הנאשם מעשה מגונה אחד בב.ב שכלל אחיזות בידיה והנחתן על איבר מינו החשוף תוך ביצוע תנועות נענוע. הנאשם לא נגע באיבריה האינטימיים של הקטינה. במסגרת האישום הרביעי התיישב הנאשם ליד ו.ו בספת הסלון בביתה, הציע לה לגעת באיבר מינו, כשזו סירבה, חזר על הצעתו. מדובר בניסיון למעשה המגונה ברף שאינו גבוה אך נסיבותיו (מיהות הקטינה, ביצועו בביתה, ניצול אמונה) מעצים את חומרתו. </w:t>
            </w:r>
          </w:p>
          <w:p w:rsidR="00246A94" w:rsidRDefault="00246A94" w:rsidP="00246A94">
            <w:pPr>
              <w:spacing w:line="360" w:lineRule="auto"/>
              <w:ind w:left="720"/>
              <w:jc w:val="both"/>
              <w:rPr>
                <w:rtl/>
              </w:rPr>
            </w:pPr>
          </w:p>
          <w:p w:rsidR="00246A94" w:rsidRDefault="00246A94" w:rsidP="00246A94">
            <w:pPr>
              <w:spacing w:line="360" w:lineRule="auto"/>
              <w:ind w:left="720"/>
              <w:jc w:val="both"/>
              <w:rPr>
                <w:rtl/>
              </w:rPr>
            </w:pPr>
            <w:r>
              <w:rPr>
                <w:b/>
                <w:bCs/>
                <w:rtl/>
              </w:rPr>
              <w:t xml:space="preserve">הנזק שנגרם למתלוננות - </w:t>
            </w:r>
            <w:r>
              <w:rPr>
                <w:rtl/>
              </w:rPr>
              <w:t>בשורה ארוכה של פסקי דין עמד בית המשפט העליון על החומרה היתרה הגלומה בפגיעה בקטינים בני משפחה:</w:t>
            </w:r>
          </w:p>
          <w:p w:rsidR="00246A94" w:rsidRDefault="00246A94" w:rsidP="00246A94">
            <w:pPr>
              <w:pStyle w:val="af"/>
              <w:spacing w:line="360" w:lineRule="auto"/>
              <w:jc w:val="both"/>
              <w:rPr>
                <w:rtl/>
              </w:rPr>
            </w:pPr>
          </w:p>
          <w:p w:rsidR="00246A94" w:rsidRDefault="00246A94" w:rsidP="00246A94">
            <w:pPr>
              <w:spacing w:after="240" w:line="360" w:lineRule="auto"/>
              <w:ind w:left="1642" w:right="709"/>
              <w:jc w:val="both"/>
              <w:rPr>
                <w:rFonts w:ascii="David" w:hAnsi="David"/>
                <w:b/>
                <w:bCs/>
                <w:color w:val="000000"/>
                <w:spacing w:val="10"/>
                <w:rtl/>
              </w:rPr>
            </w:pPr>
            <w:r>
              <w:rPr>
                <w:rFonts w:ascii="FrankRuehl" w:hAnsi="FrankRuehl" w:cs="FrankRuehl"/>
                <w:color w:val="000000"/>
                <w:spacing w:val="10"/>
                <w:sz w:val="28"/>
                <w:szCs w:val="28"/>
                <w:rtl/>
              </w:rPr>
              <w:t>"</w:t>
            </w:r>
            <w:r>
              <w:rPr>
                <w:rFonts w:ascii="David" w:hAnsi="David"/>
                <w:b/>
                <w:bCs/>
                <w:color w:val="000000"/>
                <w:spacing w:val="10"/>
                <w:rtl/>
              </w:rPr>
              <w:t xml:space="preserve">קשה להפריז בסלידה ובפסול הטמונים בעבריינות מין בתוך המשפחה, הפוגעת בילדים ובילדות רכות בשנים, הנתונים לחסדם של בני המשפחה הבוגרים יותר – פגיעה אשר עשויה להותיר צלקת בנפשם שייתכן שלא תרפא לעולם. ניצול זה של </w:t>
            </w:r>
            <w:r>
              <w:rPr>
                <w:rFonts w:ascii="David" w:hAnsi="David"/>
                <w:b/>
                <w:bCs/>
                <w:color w:val="000000"/>
                <w:spacing w:val="10"/>
                <w:rtl/>
              </w:rPr>
              <w:lastRenderedPageBreak/>
              <w:t>היחסים המשפחתיים חמור כל אימת שמדובר בבן משפחה שהוא בעל סמכות ובעל יחסי קרבה לנפגעי העבירה"</w:t>
            </w:r>
            <w:r>
              <w:rPr>
                <w:rFonts w:ascii="David" w:hAnsi="David"/>
                <w:color w:val="000000"/>
                <w:spacing w:val="10"/>
                <w:rtl/>
              </w:rPr>
              <w:t xml:space="preserve"> (ע"פ 968/20 </w:t>
            </w:r>
            <w:r>
              <w:rPr>
                <w:rFonts w:ascii="David" w:hAnsi="David"/>
                <w:b/>
                <w:bCs/>
                <w:color w:val="000000"/>
                <w:spacing w:val="10"/>
                <w:rtl/>
              </w:rPr>
              <w:t>פלוני נ' מדינת ישראל</w:t>
            </w:r>
            <w:r>
              <w:rPr>
                <w:rFonts w:ascii="David" w:hAnsi="David"/>
                <w:color w:val="000000"/>
                <w:spacing w:val="10"/>
                <w:rtl/>
              </w:rPr>
              <w:t>, פס' 14, 22.3.21)</w:t>
            </w:r>
            <w:r>
              <w:rPr>
                <w:rFonts w:ascii="David" w:hAnsi="David"/>
                <w:b/>
                <w:bCs/>
                <w:color w:val="000000"/>
                <w:spacing w:val="10"/>
                <w:rtl/>
              </w:rPr>
              <w:t>.</w:t>
            </w:r>
          </w:p>
          <w:p w:rsidR="00246A94" w:rsidRDefault="00246A94" w:rsidP="00246A94">
            <w:pPr>
              <w:pStyle w:val="af"/>
              <w:spacing w:line="360" w:lineRule="auto"/>
              <w:jc w:val="both"/>
              <w:rPr>
                <w:rFonts w:ascii="David" w:hAnsi="David"/>
                <w:color w:val="000000"/>
                <w:spacing w:val="10"/>
                <w:rtl/>
              </w:rPr>
            </w:pPr>
            <w:r>
              <w:rPr>
                <w:rtl/>
              </w:rPr>
              <w:t xml:space="preserve">הנזק המוכח שנגרם לב.ב, כעולה מתסקיר שנערך על אודותיה ומשיחות עם אמה וגורמי הטיפול המטפלים בה, כבד מאוד. להערכת עורכת התסקיר, השינויים בהתנהגותה ובהתנהלותה נובעים ישירות מהמעשים שבוצעו בה, המעשים השפיעו באופן קשה גם על אמה, שחשה אחריות ואשמה על כך שבן זוגה ניצל את השהות בביתה כדי לפגוע בבתה. הנאשם פגע גם בו.ו ובמשפחתה, פגיעה שהגיעה לשיאה במהלך שיחת עימות, שבו הטיחה ו.ו בנאשם את אשר הציע לה, בעודה בוכה,(עדותה, עמ' 44-47). </w:t>
            </w:r>
            <w:r>
              <w:rPr>
                <w:rFonts w:ascii="David" w:hAnsi="David"/>
                <w:color w:val="000000"/>
                <w:spacing w:val="10"/>
                <w:rtl/>
              </w:rPr>
              <w:t>בנסיבות אלה, אף שלא הוגש בעניינה של ו.ו תסקיר נפגעת עבירה, המסקנה היא שנגרם לה נזק נפשי כתוצאה ממעשי הנאשם.</w:t>
            </w:r>
          </w:p>
          <w:p w:rsidR="00246A94" w:rsidRDefault="00246A94" w:rsidP="00246A94">
            <w:pPr>
              <w:pStyle w:val="af"/>
              <w:spacing w:line="360" w:lineRule="auto"/>
              <w:jc w:val="both"/>
              <w:rPr>
                <w:rtl/>
              </w:rPr>
            </w:pPr>
          </w:p>
          <w:p w:rsidR="00246A94" w:rsidRDefault="00246A94" w:rsidP="00246A94">
            <w:pPr>
              <w:pStyle w:val="af"/>
              <w:spacing w:line="360" w:lineRule="auto"/>
              <w:jc w:val="both"/>
              <w:rPr>
                <w:rtl/>
              </w:rPr>
            </w:pPr>
            <w:r>
              <w:rPr>
                <w:rFonts w:ascii="Times New Roman" w:hAnsi="Times New Roman"/>
                <w:rtl/>
              </w:rPr>
              <w:t xml:space="preserve">על יסוד כל אלו מצאנו לקבוע כי מידת פגיעת מעשי הנאשם בערכים המוגנים היא </w:t>
            </w:r>
            <w:r>
              <w:rPr>
                <w:rFonts w:ascii="Times New Roman" w:hAnsi="Times New Roman"/>
                <w:b/>
                <w:bCs/>
                <w:rtl/>
              </w:rPr>
              <w:t xml:space="preserve">ברף בינוני.  </w:t>
            </w:r>
          </w:p>
          <w:p w:rsidR="00246A94" w:rsidRDefault="00246A94" w:rsidP="00246A94">
            <w:pPr>
              <w:pStyle w:val="af"/>
              <w:spacing w:line="360" w:lineRule="auto"/>
              <w:jc w:val="both"/>
              <w:rPr>
                <w:rtl/>
              </w:rPr>
            </w:pPr>
          </w:p>
          <w:p w:rsidR="00246A94" w:rsidRDefault="00246A94" w:rsidP="00246A94">
            <w:pPr>
              <w:pStyle w:val="a"/>
              <w:jc w:val="both"/>
              <w:rPr>
                <w:rtl/>
              </w:rPr>
            </w:pPr>
            <w:r>
              <w:rPr>
                <w:rFonts w:hint="cs"/>
                <w:rtl/>
              </w:rPr>
              <w:t xml:space="preserve">בחינת </w:t>
            </w:r>
            <w:r>
              <w:rPr>
                <w:rFonts w:hint="cs"/>
                <w:b/>
                <w:bCs/>
                <w:rtl/>
              </w:rPr>
              <w:t>מדיניות הענישה הנוהגת</w:t>
            </w:r>
            <w:r>
              <w:rPr>
                <w:rFonts w:hint="cs"/>
                <w:rtl/>
              </w:rPr>
              <w:t xml:space="preserve"> - מנעד הענישה בעבירות מין נגד קטינים רחב מטבע הדברים, ותלוי בין היתר בטיב העבירות, אופי המעשים, שכיחות המקרים ומספר הקורבנות (ע"פ 1859/20 </w:t>
            </w:r>
            <w:r>
              <w:rPr>
                <w:rFonts w:hint="cs"/>
                <w:b/>
                <w:bCs/>
                <w:rtl/>
              </w:rPr>
              <w:t>פלוני נ' מדינת</w:t>
            </w:r>
            <w:r>
              <w:rPr>
                <w:rFonts w:hint="cs"/>
                <w:rtl/>
              </w:rPr>
              <w:t xml:space="preserve"> </w:t>
            </w:r>
            <w:r>
              <w:rPr>
                <w:rFonts w:hint="cs"/>
                <w:b/>
                <w:bCs/>
                <w:rtl/>
              </w:rPr>
              <w:t>ישראל</w:t>
            </w:r>
            <w:r>
              <w:rPr>
                <w:rFonts w:hint="cs"/>
                <w:rtl/>
              </w:rPr>
              <w:t xml:space="preserve">, פסקה 9 (23.12.20). </w:t>
            </w:r>
          </w:p>
          <w:p w:rsidR="00246A94" w:rsidRDefault="00246A94" w:rsidP="00246A94">
            <w:pPr>
              <w:pStyle w:val="a"/>
              <w:numPr>
                <w:ilvl w:val="0"/>
                <w:numId w:val="0"/>
              </w:numPr>
              <w:tabs>
                <w:tab w:val="left" w:pos="720"/>
              </w:tabs>
              <w:ind w:left="720"/>
              <w:jc w:val="both"/>
              <w:rPr>
                <w:rFonts w:eastAsiaTheme="minorHAnsi"/>
                <w:rtl/>
              </w:rPr>
            </w:pPr>
            <w:r>
              <w:rPr>
                <w:rFonts w:hint="cs"/>
                <w:b/>
                <w:bCs/>
                <w:rtl/>
              </w:rPr>
              <w:t>אשר לאישום הראשון</w:t>
            </w:r>
            <w:r>
              <w:rPr>
                <w:rFonts w:hint="cs"/>
                <w:rtl/>
              </w:rPr>
              <w:t>, מעשה מגונה אחד בקטינה בת משפחה, נפנה לפסיקה הבאה:</w:t>
            </w:r>
          </w:p>
          <w:p w:rsidR="00246A94" w:rsidRDefault="00246A94" w:rsidP="00246A94">
            <w:pPr>
              <w:spacing w:line="360" w:lineRule="auto"/>
              <w:ind w:left="720"/>
              <w:contextualSpacing/>
              <w:jc w:val="both"/>
              <w:rPr>
                <w:rFonts w:ascii="David" w:eastAsiaTheme="minorHAnsi" w:hAnsi="David"/>
              </w:rPr>
            </w:pPr>
            <w:r>
              <w:rPr>
                <w:rFonts w:ascii="David" w:eastAsiaTheme="minorHAnsi" w:hAnsi="David"/>
                <w:rtl/>
              </w:rPr>
              <w:t xml:space="preserve">בע"פ 2647/21 </w:t>
            </w:r>
            <w:r>
              <w:rPr>
                <w:rFonts w:ascii="David" w:eastAsiaTheme="minorHAnsi" w:hAnsi="David"/>
                <w:b/>
                <w:bCs/>
                <w:rtl/>
              </w:rPr>
              <w:t xml:space="preserve">פלוני נ' מדינת ישראל </w:t>
            </w:r>
            <w:r>
              <w:rPr>
                <w:rFonts w:ascii="David" w:eastAsiaTheme="minorHAnsi" w:hAnsi="David"/>
                <w:rtl/>
              </w:rPr>
              <w:t xml:space="preserve">(21.8.22) הורשע המערער, לאחר שמיעת ראיות, בריבוי עבירות של מעשים מגונים באחייניתו הקטינה (בגילאים 12-14) ובאיומים. במספר הזדמנויות, ביצע במתלוננת מעשים מגונים הכוללים ליטוף גופה, הצמדת איבר מינו לאיבר מינה ונשיקות כשהוא עירום. עוד נהג פעמים רבות לאיים על הקטינה פן תגלה אודות מעשיו, אחרת יעשה לה "משהו גרוע יותר". בית המשפט המחוזי קבע מתחם ענישה הנע בין 9-6 שנות מאסר. הנאשם ללא עבר פלילי נדון למאסר בן 7.5 שנים, ערעורו נדחה; </w:t>
            </w:r>
          </w:p>
          <w:p w:rsidR="00246A94" w:rsidRDefault="00246A94" w:rsidP="00246A94">
            <w:pPr>
              <w:spacing w:line="360" w:lineRule="auto"/>
              <w:ind w:left="720"/>
              <w:contextualSpacing/>
              <w:jc w:val="both"/>
              <w:rPr>
                <w:rFonts w:ascii="David" w:eastAsiaTheme="minorHAnsi" w:hAnsi="David"/>
                <w:rtl/>
              </w:rPr>
            </w:pPr>
          </w:p>
          <w:p w:rsidR="00246A94" w:rsidRDefault="00246A94" w:rsidP="00246A94">
            <w:pPr>
              <w:spacing w:line="360" w:lineRule="auto"/>
              <w:ind w:left="720"/>
              <w:contextualSpacing/>
              <w:jc w:val="both"/>
              <w:rPr>
                <w:rFonts w:ascii="David" w:eastAsiaTheme="minorHAnsi" w:hAnsi="David"/>
                <w:rtl/>
              </w:rPr>
            </w:pPr>
            <w:r>
              <w:rPr>
                <w:rFonts w:ascii="David" w:eastAsiaTheme="minorHAnsi" w:hAnsi="David"/>
                <w:rtl/>
              </w:rPr>
              <w:t xml:space="preserve">בע"פ 2581/19 </w:t>
            </w:r>
            <w:r>
              <w:rPr>
                <w:rFonts w:ascii="David" w:eastAsiaTheme="minorHAnsi" w:hAnsi="David"/>
                <w:b/>
                <w:bCs/>
                <w:rtl/>
              </w:rPr>
              <w:t xml:space="preserve">פלוני נ' מדינת ישראל </w:t>
            </w:r>
            <w:r>
              <w:rPr>
                <w:rFonts w:ascii="David" w:eastAsiaTheme="minorHAnsi" w:hAnsi="David"/>
                <w:rtl/>
              </w:rPr>
              <w:t xml:space="preserve">(4.12.19), ערעור וערעור שכנגד, במקרה זה הורשע מערער, לאחר שמיעת ראיות, במעשים מגונים בשתי קטינות, אחת מהן בת משפחה, בתה של אשתו באותה עת מנישואים קודמים, ובחברתה של הקטינה, ונדון למאסר בן 5 שנים. המעשים המגונים בוצעו בקטינה כשהייתה בגילאי 11-14, וכללו ליטוף איברים אינטימיים והצמדות לגופה של הקטינה בת משפחה במספר הזדמנויות (הנאשם זוכה מעבירה של ניסיון למעשה סדום), במסגרת האישום הנוסף הורשע בכך שחיבק, נישק והצמיד את גופו לחברתה של הקטינה, כבת 14 במועד ביצוע המעשים. בית המשפט העליון הדגיש את חומרת נסיבות המעשים שביצע הנאשם בבתו החורגת, תוך הפרת אמון קשה והנזק הרב שנגרם לה, קבע שהעונש מקל עם הנאשם יתר על המידה ולא נותן ביטוי לנזק שנגרם למתלוננות, קיבל את ערעור המדינה והעמיד את עונשו של הנאשם על 6.5 שנות מאסר, מבלי למצות את הדין, עוד העלה את גובה הפיצויים (60,000 ₪ לקטינה בת המשפחה ו-15,000 ₪ לקטינה הנוספת); </w:t>
            </w:r>
          </w:p>
          <w:p w:rsidR="00246A94" w:rsidRDefault="00246A94" w:rsidP="00246A94">
            <w:pPr>
              <w:spacing w:line="360" w:lineRule="auto"/>
              <w:ind w:left="720"/>
              <w:contextualSpacing/>
              <w:jc w:val="both"/>
              <w:rPr>
                <w:rFonts w:ascii="David" w:eastAsiaTheme="minorHAnsi" w:hAnsi="David"/>
                <w:rtl/>
              </w:rPr>
            </w:pPr>
          </w:p>
          <w:p w:rsidR="00246A94" w:rsidRDefault="00246A94" w:rsidP="00246A94">
            <w:pPr>
              <w:spacing w:line="360" w:lineRule="auto"/>
              <w:ind w:left="720"/>
              <w:contextualSpacing/>
              <w:jc w:val="both"/>
              <w:rPr>
                <w:rFonts w:ascii="David" w:eastAsiaTheme="minorHAnsi" w:hAnsi="David"/>
                <w:rtl/>
              </w:rPr>
            </w:pPr>
            <w:r>
              <w:rPr>
                <w:rFonts w:ascii="David" w:eastAsiaTheme="minorHAnsi" w:hAnsi="David"/>
                <w:rtl/>
              </w:rPr>
              <w:lastRenderedPageBreak/>
              <w:t xml:space="preserve">בע"פ 8290/16 </w:t>
            </w:r>
            <w:r>
              <w:rPr>
                <w:rFonts w:ascii="David" w:eastAsiaTheme="minorHAnsi" w:hAnsi="David"/>
                <w:b/>
                <w:bCs/>
                <w:rtl/>
              </w:rPr>
              <w:t xml:space="preserve">פלוני נ' מדינת ישראל </w:t>
            </w:r>
            <w:r>
              <w:rPr>
                <w:rFonts w:ascii="David" w:eastAsiaTheme="minorHAnsi" w:hAnsi="David"/>
                <w:rtl/>
              </w:rPr>
              <w:t xml:space="preserve">(28.11.17) נדון ערעור המערער וערעור שכנגד, המערער הורשע, לאחר שמיעת ראיות, בשתי עבירות של מעשים מגונים בשתי קטינות, בתו ואחייניתו, ובניסיון לעבור עבירה כאמור. על פי האישום הראשון, שהוא הרלוונטי לענייננו, ליטף הנאשם את בטנה של אחייניתו, בת 11-12, ואת גבה בסמוך לחזה. בהמשך, בעודו מכוסה בשמיכה הוריד את מכנסיו ושפשף את איבר מינו ומשך את ידה של אחייניתו בבקשה שתיגע בו אך היא התנגדה, וניסה להוריד את מכנסיה, תחתוניה וחולצתה. המתחם שנקבע למעשיו באישום זה נע בין 6-2 שנות מאסר. על פי האישום השני, בעוד בתו בת ה-9 ישנה, חשף הנאשם את איבר מינה וליקק אותו. המתחם שנקבע למעשיו באישום זה נע בין 7-3 שנות מאסר. הנאשם בעל עבר פלילי נדון למאסר בן 44 חודשים. ערעור המדינה התקבל ועונשו הוחמר ל-64 חודשי מאסר; </w:t>
            </w:r>
          </w:p>
          <w:p w:rsidR="00246A94" w:rsidRDefault="00246A94" w:rsidP="00246A94">
            <w:pPr>
              <w:spacing w:line="360" w:lineRule="auto"/>
              <w:ind w:left="720"/>
              <w:contextualSpacing/>
              <w:jc w:val="both"/>
              <w:rPr>
                <w:rFonts w:ascii="David" w:eastAsiaTheme="minorHAnsi" w:hAnsi="David"/>
                <w:rtl/>
              </w:rPr>
            </w:pPr>
          </w:p>
          <w:p w:rsidR="00246A94" w:rsidRDefault="00246A94" w:rsidP="00246A94">
            <w:pPr>
              <w:spacing w:line="360" w:lineRule="auto"/>
              <w:ind w:left="720"/>
              <w:contextualSpacing/>
              <w:jc w:val="both"/>
              <w:rPr>
                <w:rFonts w:ascii="David" w:eastAsiaTheme="minorHAnsi" w:hAnsi="David"/>
                <w:rtl/>
              </w:rPr>
            </w:pPr>
            <w:r>
              <w:rPr>
                <w:rFonts w:ascii="David" w:eastAsiaTheme="minorHAnsi" w:hAnsi="David"/>
                <w:rtl/>
              </w:rPr>
              <w:t xml:space="preserve">בע"פ 3182/13 </w:t>
            </w:r>
            <w:r>
              <w:rPr>
                <w:rFonts w:ascii="David" w:eastAsiaTheme="minorHAnsi" w:hAnsi="David"/>
                <w:b/>
                <w:bCs/>
                <w:rtl/>
              </w:rPr>
              <w:t>פרץ נ' מדינת ישראל</w:t>
            </w:r>
            <w:r>
              <w:rPr>
                <w:rFonts w:ascii="David" w:eastAsiaTheme="minorHAnsi" w:hAnsi="David"/>
                <w:rtl/>
              </w:rPr>
              <w:t xml:space="preserve"> (19.12.13), נדחה ערעורו של נאשם שהורשע, לאחר שמיעת ראיות, בביצוע מעשים מגונים בבתו בת ה-12 של חברו, בין היתר ליטף את חזה, גבה, ישבנה וניסה לגעת באיבר מינה. עוד הורשע בעבירה של הדחה לחקירה. הנאשם נדון למאסר בן 26 חודשים;</w:t>
            </w:r>
          </w:p>
          <w:p w:rsidR="00246A94" w:rsidRDefault="00246A94" w:rsidP="00246A94">
            <w:pPr>
              <w:spacing w:line="360" w:lineRule="auto"/>
              <w:ind w:left="720"/>
              <w:contextualSpacing/>
              <w:jc w:val="both"/>
              <w:rPr>
                <w:rFonts w:ascii="David" w:eastAsiaTheme="minorHAnsi" w:hAnsi="David"/>
                <w:rtl/>
              </w:rPr>
            </w:pPr>
          </w:p>
          <w:p w:rsidR="00246A94" w:rsidRDefault="00246A94" w:rsidP="00246A94">
            <w:pPr>
              <w:spacing w:line="360" w:lineRule="auto"/>
              <w:ind w:left="720"/>
              <w:contextualSpacing/>
              <w:jc w:val="both"/>
              <w:rPr>
                <w:rFonts w:ascii="David" w:eastAsiaTheme="minorHAnsi" w:hAnsi="David"/>
                <w:rtl/>
              </w:rPr>
            </w:pPr>
            <w:bookmarkStart w:id="0" w:name="_GoBack"/>
            <w:bookmarkEnd w:id="0"/>
            <w:r>
              <w:rPr>
                <w:rFonts w:ascii="David" w:eastAsiaTheme="minorHAnsi" w:hAnsi="David"/>
                <w:rtl/>
              </w:rPr>
              <w:t xml:space="preserve">בע"פ 3934/12 </w:t>
            </w:r>
            <w:r>
              <w:rPr>
                <w:rFonts w:ascii="David" w:eastAsiaTheme="minorHAnsi" w:hAnsi="David"/>
                <w:b/>
                <w:bCs/>
                <w:rtl/>
              </w:rPr>
              <w:t xml:space="preserve">פלוני נ' מדינת ישראל </w:t>
            </w:r>
            <w:r>
              <w:rPr>
                <w:rFonts w:ascii="David" w:eastAsiaTheme="minorHAnsi" w:hAnsi="David"/>
                <w:rtl/>
              </w:rPr>
              <w:t xml:space="preserve">(18.2.13), הורשע המערער, על פי הודאתו, בשש עבירות של מעשים מגונים בבתו הקטינה שבוצעו לאורך כשלוש שנים. בשני מקרים נכנס בלילה למיטת בתו, נצמד אליה וחיכך את איבר מינו בה תוך שהוא נוגע באיבר מינה. בארבעה מקרים נוספים חיבק את בתו בעודו עירום, נישק אותה, נגע באיבר מינה והביאה לנגוע באיבר מינו. המערער ללא עבר פלילי, חשף מיוזמתו את ביצוע העבירות, שירת בתפקידים בטחוניים ותרם לבטחון המדינה, נדון למאסר בן 8 שנים, ערעורו נדחה;  </w:t>
            </w:r>
          </w:p>
          <w:p w:rsidR="00246A94" w:rsidRDefault="00246A94" w:rsidP="00246A94">
            <w:pPr>
              <w:spacing w:line="360" w:lineRule="auto"/>
              <w:ind w:left="720"/>
              <w:contextualSpacing/>
              <w:jc w:val="both"/>
              <w:rPr>
                <w:rFonts w:ascii="David" w:eastAsiaTheme="minorHAnsi" w:hAnsi="David"/>
                <w:rtl/>
              </w:rPr>
            </w:pPr>
          </w:p>
          <w:p w:rsidR="00246A94" w:rsidRDefault="00246A94" w:rsidP="00246A94">
            <w:pPr>
              <w:spacing w:line="360" w:lineRule="auto"/>
              <w:ind w:left="720"/>
              <w:contextualSpacing/>
              <w:jc w:val="both"/>
              <w:rPr>
                <w:rFonts w:ascii="David" w:eastAsiaTheme="minorHAnsi" w:hAnsi="David"/>
                <w:rtl/>
              </w:rPr>
            </w:pPr>
            <w:r>
              <w:rPr>
                <w:rFonts w:ascii="David" w:eastAsiaTheme="minorHAnsi" w:hAnsi="David"/>
                <w:rtl/>
              </w:rPr>
              <w:t xml:space="preserve">תפח"ע (מחוזי מרכז) 1494-01-21 </w:t>
            </w:r>
            <w:r>
              <w:rPr>
                <w:rFonts w:ascii="David" w:eastAsiaTheme="minorHAnsi" w:hAnsi="David"/>
                <w:b/>
                <w:bCs/>
                <w:rtl/>
              </w:rPr>
              <w:t>מדינת ישראל נ' פלוני</w:t>
            </w:r>
            <w:r>
              <w:rPr>
                <w:rFonts w:ascii="David" w:eastAsiaTheme="minorHAnsi" w:hAnsi="David"/>
                <w:rtl/>
              </w:rPr>
              <w:t xml:space="preserve"> (23.3.23), אשר נדון לפנינו, הנאשם שהוא אביה של המתלוננת, במועד ביצוע המעשים כבת 12, הורשע במספר מעשים מגונים בבתו, מדובר במעשים ברף נמוך שכללו נגיעות בגופה מעל לבגדיה וחיבוקים. הנאשם הודה, שולב בהליך טיפולי ייעודי ממושך ונושא פירות, נקבע מתחם ענישה שנע בין 24-48 חודשים מאסר, הנאשם נדון לעונש שיקומי של 9 חודשי עבודות שירות; </w:t>
            </w:r>
          </w:p>
          <w:p w:rsidR="00246A94" w:rsidRDefault="00246A94" w:rsidP="00246A94">
            <w:pPr>
              <w:spacing w:line="360" w:lineRule="auto"/>
              <w:ind w:left="720"/>
              <w:contextualSpacing/>
              <w:jc w:val="both"/>
              <w:rPr>
                <w:rFonts w:ascii="David" w:eastAsiaTheme="minorHAnsi" w:hAnsi="David"/>
                <w:rtl/>
              </w:rPr>
            </w:pPr>
          </w:p>
          <w:p w:rsidR="00246A94" w:rsidRDefault="00246A94" w:rsidP="00246A94">
            <w:pPr>
              <w:spacing w:line="360" w:lineRule="auto"/>
              <w:ind w:left="720"/>
              <w:contextualSpacing/>
              <w:jc w:val="both"/>
              <w:rPr>
                <w:rFonts w:ascii="David" w:eastAsiaTheme="minorHAnsi" w:hAnsi="David"/>
                <w:rtl/>
              </w:rPr>
            </w:pPr>
            <w:r>
              <w:rPr>
                <w:rFonts w:ascii="David" w:eastAsiaTheme="minorHAnsi" w:hAnsi="David"/>
                <w:rtl/>
              </w:rPr>
              <w:t xml:space="preserve">תפח"ע (מחוזי מרכז) 57870-07-23 </w:t>
            </w:r>
            <w:r>
              <w:rPr>
                <w:rFonts w:ascii="David" w:eastAsiaTheme="minorHAnsi" w:hAnsi="David"/>
                <w:b/>
                <w:bCs/>
                <w:rtl/>
              </w:rPr>
              <w:t>מדינת ישראל נ' פלוני</w:t>
            </w:r>
            <w:r>
              <w:rPr>
                <w:rFonts w:ascii="David" w:eastAsiaTheme="minorHAnsi" w:hAnsi="David"/>
                <w:rtl/>
              </w:rPr>
              <w:t xml:space="preserve"> (18.2.24)- הנאשם, אביה החורג של הקטינה כבת 14 במועד המעשים, הורשע בביצוע מעשה מגונה אחד, נגיעה קצרה באיבר מינה של הקטינה מעל לבגדיה בזמן שישנה, נדון במסגרת הסדר טיעון למאסר בן 29 חודשים ופיצוי בסך 35,000 ₪; </w:t>
            </w:r>
          </w:p>
          <w:p w:rsidR="00246A94" w:rsidRDefault="00246A94" w:rsidP="00246A94">
            <w:pPr>
              <w:spacing w:line="360" w:lineRule="auto"/>
              <w:ind w:left="720"/>
              <w:contextualSpacing/>
              <w:jc w:val="both"/>
              <w:rPr>
                <w:rFonts w:ascii="David" w:eastAsiaTheme="minorHAnsi" w:hAnsi="David"/>
                <w:rtl/>
              </w:rPr>
            </w:pPr>
          </w:p>
          <w:p w:rsidR="00246A94" w:rsidRDefault="00246A94" w:rsidP="00246A94">
            <w:pPr>
              <w:spacing w:line="360" w:lineRule="auto"/>
              <w:ind w:left="720"/>
              <w:contextualSpacing/>
              <w:jc w:val="both"/>
              <w:rPr>
                <w:rFonts w:ascii="David" w:eastAsiaTheme="minorHAnsi" w:hAnsi="David"/>
                <w:rtl/>
              </w:rPr>
            </w:pPr>
            <w:r>
              <w:rPr>
                <w:rFonts w:ascii="David" w:eastAsiaTheme="minorHAnsi" w:hAnsi="David"/>
                <w:rtl/>
              </w:rPr>
              <w:t xml:space="preserve">בתפ"ח (מחוזי מרכז) 63357-06-22 </w:t>
            </w:r>
            <w:r>
              <w:rPr>
                <w:rFonts w:ascii="David" w:eastAsiaTheme="minorHAnsi" w:hAnsi="David"/>
                <w:b/>
                <w:bCs/>
                <w:rtl/>
              </w:rPr>
              <w:t>מדינת ישראל נ' פלוני</w:t>
            </w:r>
            <w:r>
              <w:rPr>
                <w:rFonts w:ascii="David" w:eastAsiaTheme="minorHAnsi" w:hAnsi="David"/>
                <w:rtl/>
              </w:rPr>
              <w:t xml:space="preserve"> (5.3.24), אשר אף הוא נדון לפנינו, הנאשם הורשע במסגרת הסדר טיעון בביצוע מעשים מגונים בקטינה בת משפחה בגילאי 12-13 שכללו חיכוך באיבר מינה מעל לבגדיה וניסיונות לנשקה. מסוכנותו המינית הוערכה כנמוכה, הודה ונטל אחריות על מעשיו. נדון במסגרת הסדר טיעון למאסר בן 31 חודשים ולפיצוי בסך 30,000 ₪. </w:t>
            </w:r>
          </w:p>
          <w:p w:rsidR="00246A94" w:rsidRDefault="00246A94" w:rsidP="00246A94">
            <w:pPr>
              <w:spacing w:line="360" w:lineRule="auto"/>
              <w:ind w:left="720"/>
              <w:contextualSpacing/>
              <w:jc w:val="both"/>
              <w:rPr>
                <w:rFonts w:ascii="David" w:eastAsiaTheme="minorHAnsi" w:hAnsi="David"/>
                <w:rtl/>
              </w:rPr>
            </w:pPr>
          </w:p>
          <w:p w:rsidR="00246A94" w:rsidRDefault="00246A94" w:rsidP="00246A94">
            <w:pPr>
              <w:pStyle w:val="a"/>
              <w:jc w:val="both"/>
              <w:rPr>
                <w:rFonts w:eastAsiaTheme="minorHAnsi"/>
                <w:rtl/>
              </w:rPr>
            </w:pPr>
            <w:r>
              <w:rPr>
                <w:rFonts w:eastAsiaTheme="minorHAnsi" w:hint="cs"/>
                <w:rtl/>
              </w:rPr>
              <w:lastRenderedPageBreak/>
              <w:t xml:space="preserve">עיינו בפסיקה שהגישה ההגנה, ברובה הושתו עונשי מאסר מתונים בגין ביצוע מעשים מגונים, חלקם בתוך המשפחה. כך, בין היתר, בע"פ 3178/21 </w:t>
            </w:r>
            <w:r>
              <w:rPr>
                <w:rFonts w:eastAsiaTheme="minorHAnsi" w:hint="cs"/>
                <w:b/>
                <w:bCs/>
                <w:rtl/>
              </w:rPr>
              <w:t>פלוני נ' מדינת ישראל</w:t>
            </w:r>
            <w:r>
              <w:rPr>
                <w:rFonts w:eastAsiaTheme="minorHAnsi" w:hint="cs"/>
                <w:rtl/>
              </w:rPr>
              <w:t xml:space="preserve"> (30.1.22) נדחה ערעורו של נאשם, סב שהורשע, על יסוד הודאתו, בביצוע מעשים מגונים בנכדתו, ונדון למאסר בן 14 חודשים. מדובר בתיק שבו הגיעו הצדדים להסדר טיעון, המאשימה עתרה לעונש ראוי בן 16 חודשי מאסר, וניתן משקל לגילו המתקדם ומצבו הבריאותי הקשה של הנאשם (ראו גם ע"פ 10068/16 </w:t>
            </w:r>
            <w:r>
              <w:rPr>
                <w:rFonts w:eastAsiaTheme="minorHAnsi" w:hint="cs"/>
                <w:b/>
                <w:bCs/>
                <w:rtl/>
              </w:rPr>
              <w:t>פלוני נ' מדינת ישראל,</w:t>
            </w:r>
            <w:r>
              <w:rPr>
                <w:rFonts w:eastAsiaTheme="minorHAnsi" w:hint="cs"/>
                <w:rtl/>
              </w:rPr>
              <w:t xml:space="preserve"> 9.1.18). </w:t>
            </w:r>
          </w:p>
          <w:p w:rsidR="00246A94" w:rsidRDefault="00246A94" w:rsidP="00246A94">
            <w:pPr>
              <w:spacing w:line="360" w:lineRule="auto"/>
              <w:ind w:left="720"/>
              <w:contextualSpacing/>
              <w:jc w:val="both"/>
              <w:rPr>
                <w:rFonts w:ascii="David" w:eastAsiaTheme="minorHAnsi" w:hAnsi="David"/>
                <w:rtl/>
              </w:rPr>
            </w:pPr>
          </w:p>
          <w:p w:rsidR="00246A94" w:rsidRDefault="00246A94" w:rsidP="00246A94">
            <w:pPr>
              <w:pStyle w:val="a"/>
              <w:jc w:val="both"/>
              <w:rPr>
                <w:rFonts w:eastAsiaTheme="minorHAnsi"/>
              </w:rPr>
            </w:pPr>
            <w:r>
              <w:rPr>
                <w:rFonts w:eastAsiaTheme="minorHAnsi" w:hint="cs"/>
                <w:rtl/>
              </w:rPr>
              <w:t xml:space="preserve">לאחר שבחנו את כלל השיקולים, בהינתן טיב מעשי הנאשם, הפגיעה בערכים המוגנים ומדיניות הענישה הנוהגת, ועונש המינימום </w:t>
            </w:r>
            <w:r>
              <w:rPr>
                <w:rFonts w:eastAsiaTheme="minorHAnsi" w:hint="cs"/>
                <w:b/>
                <w:bCs/>
                <w:rtl/>
              </w:rPr>
              <w:t>מצאנו לקבוע ביחס לאישום הראשון הנע בין 45-65 חודשי מאסר.</w:t>
            </w:r>
          </w:p>
          <w:p w:rsidR="00246A94" w:rsidRDefault="00246A94" w:rsidP="00246A94">
            <w:pPr>
              <w:pStyle w:val="af"/>
              <w:rPr>
                <w:rFonts w:eastAsiaTheme="minorHAnsi"/>
                <w:b/>
                <w:bCs/>
                <w:rtl/>
              </w:rPr>
            </w:pPr>
          </w:p>
          <w:p w:rsidR="00246A94" w:rsidRDefault="00246A94" w:rsidP="00246A94">
            <w:pPr>
              <w:pStyle w:val="a"/>
              <w:numPr>
                <w:ilvl w:val="0"/>
                <w:numId w:val="0"/>
              </w:numPr>
              <w:tabs>
                <w:tab w:val="left" w:pos="720"/>
              </w:tabs>
              <w:ind w:left="720"/>
              <w:jc w:val="both"/>
              <w:rPr>
                <w:rFonts w:eastAsiaTheme="minorHAnsi"/>
                <w:rtl/>
              </w:rPr>
            </w:pPr>
            <w:r>
              <w:rPr>
                <w:rFonts w:eastAsiaTheme="minorHAnsi" w:hint="cs"/>
                <w:b/>
                <w:bCs/>
                <w:rtl/>
              </w:rPr>
              <w:t xml:space="preserve">אשר לאישום הרביעי, בהינתן נסיבות המעשה והרשעת הנאשם בעבירת ניסיון </w:t>
            </w:r>
            <w:r>
              <w:rPr>
                <w:rFonts w:eastAsiaTheme="minorHAnsi" w:hint="cs"/>
                <w:rtl/>
              </w:rPr>
              <w:t>למעשה מגונה הכולל הצעות מיניות ללא מגע פיזי בקטינה שאינה בת משפחה</w:t>
            </w:r>
            <w:r>
              <w:rPr>
                <w:rFonts w:eastAsiaTheme="minorHAnsi" w:hint="cs"/>
                <w:b/>
                <w:bCs/>
                <w:rtl/>
              </w:rPr>
              <w:t xml:space="preserve">, מתחם הנע בין 6-18 חודשי מאסר </w:t>
            </w:r>
            <w:r>
              <w:rPr>
                <w:rFonts w:eastAsiaTheme="minorHAnsi" w:hint="cs"/>
                <w:rtl/>
              </w:rPr>
              <w:t xml:space="preserve">(ראו ע"פ 2603/23 </w:t>
            </w:r>
            <w:r>
              <w:rPr>
                <w:rFonts w:eastAsiaTheme="minorHAnsi" w:hint="cs"/>
                <w:b/>
                <w:bCs/>
                <w:rtl/>
              </w:rPr>
              <w:t>פלוני נ' מדינת ישראל</w:t>
            </w:r>
            <w:r>
              <w:rPr>
                <w:rFonts w:eastAsiaTheme="minorHAnsi" w:hint="cs"/>
                <w:rtl/>
              </w:rPr>
              <w:t xml:space="preserve"> (15.2.24); ע"פ 8755/23 </w:t>
            </w:r>
            <w:r>
              <w:rPr>
                <w:rFonts w:eastAsiaTheme="minorHAnsi" w:hint="cs"/>
                <w:b/>
                <w:bCs/>
                <w:rtl/>
              </w:rPr>
              <w:t>תנעמי נ'</w:t>
            </w:r>
            <w:r>
              <w:rPr>
                <w:rFonts w:eastAsiaTheme="minorHAnsi" w:hint="cs"/>
                <w:rtl/>
              </w:rPr>
              <w:t xml:space="preserve"> </w:t>
            </w:r>
            <w:r>
              <w:rPr>
                <w:rFonts w:eastAsiaTheme="minorHAnsi" w:hint="cs"/>
                <w:b/>
                <w:bCs/>
                <w:rtl/>
              </w:rPr>
              <w:t>מדינת ישראל</w:t>
            </w:r>
            <w:r>
              <w:rPr>
                <w:rFonts w:eastAsiaTheme="minorHAnsi" w:hint="cs"/>
                <w:rtl/>
              </w:rPr>
              <w:t xml:space="preserve"> (11.7.24)</w:t>
            </w:r>
            <w:r>
              <w:rPr>
                <w:rFonts w:eastAsiaTheme="minorHAnsi" w:hint="cs"/>
                <w:b/>
                <w:bCs/>
                <w:rtl/>
              </w:rPr>
              <w:t xml:space="preserve">. </w:t>
            </w:r>
          </w:p>
          <w:p w:rsidR="00246A94" w:rsidRDefault="00246A94" w:rsidP="00246A94">
            <w:pPr>
              <w:spacing w:line="360" w:lineRule="auto"/>
              <w:jc w:val="both"/>
              <w:rPr>
                <w:rtl/>
              </w:rPr>
            </w:pPr>
          </w:p>
          <w:p w:rsidR="00246A94" w:rsidRDefault="00246A94" w:rsidP="00246A94">
            <w:pPr>
              <w:pStyle w:val="a"/>
              <w:numPr>
                <w:ilvl w:val="0"/>
                <w:numId w:val="0"/>
              </w:numPr>
              <w:tabs>
                <w:tab w:val="left" w:pos="720"/>
              </w:tabs>
              <w:ind w:left="720"/>
              <w:jc w:val="both"/>
              <w:rPr>
                <w:b/>
                <w:bCs/>
                <w:u w:val="single"/>
                <w:rtl/>
              </w:rPr>
            </w:pPr>
            <w:r>
              <w:rPr>
                <w:rFonts w:hint="cs"/>
                <w:b/>
                <w:bCs/>
                <w:u w:val="single"/>
                <w:rtl/>
              </w:rPr>
              <w:t xml:space="preserve">קביעת העונש המתאים לנאשם </w:t>
            </w:r>
          </w:p>
          <w:p w:rsidR="00246A94" w:rsidRDefault="00246A94" w:rsidP="00246A94">
            <w:pPr>
              <w:pStyle w:val="a"/>
              <w:jc w:val="both"/>
              <w:rPr>
                <w:rtl/>
              </w:rPr>
            </w:pPr>
            <w:r>
              <w:rPr>
                <w:rFonts w:hint="cs"/>
                <w:rtl/>
              </w:rPr>
              <w:t xml:space="preserve">הנאשם יליד 1979, בעברו שלוש הרשעות בעבירות איומים, הטרדה והפרת הוראה חוקית, האחרונה משנת 2022. הנאשם עצור מיום 7.9.22, מעצר ממושך לראשונה בחייו. הנאשם הכחיש באופן גורף את המיוחס לו, לרבות את פרטי העימות עם הוריה של ו.ו, שכעולה מעדויותיהם הודה במהלכו במיוחס לו (סעיף 44 להכרעת הדין). במהלך המשפט כולו גילה הנאשם חוסר אמפתיה למתלוננת ו.ו ולעדים, לרבות לאמה של ב.ב, אם בנו. הוא נראה זחוח והרבה לצחוק ללא סיבה. הנאשם טען כי אמה של ב.ב העלילה עליו במטרה להרחיקו מבנו, אשר לו.ו טען שאביה החורג חייב לו כספים עבור סמים שמכר לו ועמד ברקע התלונה. הנאשם הורשע בפגיעה מינית בשתי קטינות, מסוכנותו המינית גלומה בטיב מעשיו, לא התקבל בעניינו תסקיר ולא ניתן להעריך במדויק את רמת מסוכנותו המינית. </w:t>
            </w:r>
          </w:p>
          <w:p w:rsidR="00246A94" w:rsidRDefault="00246A94" w:rsidP="00246A94">
            <w:pPr>
              <w:pStyle w:val="a"/>
              <w:jc w:val="both"/>
              <w:rPr>
                <w:rFonts w:ascii="Times New Roman" w:hAnsi="Times New Roman"/>
                <w:b/>
                <w:bCs/>
                <w:u w:val="single"/>
                <w:rtl/>
              </w:rPr>
            </w:pPr>
            <w:r>
              <w:rPr>
                <w:rFonts w:hint="cs"/>
                <w:rtl/>
              </w:rPr>
              <w:t xml:space="preserve">בבואנו לקבוע את מיקום עונשו של הנאשם בגדרי המתחם נתנו משקל מחד לגילו, לעברו שאינו מכביד, ולכך שעצור תקופה ממושכת. הנאשם כפר במיוחס לו וזו כמובן זכותו אך לא ניתן להקל עמו בשל כך, הכחשתו הייתה גורפת, הוא לא הביע חרטה על מעשיו, אף לא מאוחרת. מנגד, הנאשם זוכה מהמיוחס לו באישומים 2-3. עוד יש לתת את הדעת, כמצוות הפסיקה, לשיקולי הרתעת היחיד והרבים ולבכרם על פני התחשבות בנסיבותיו האישיות של הנאשם (ע"פ 6690/07 </w:t>
            </w:r>
            <w:r>
              <w:rPr>
                <w:rFonts w:hint="cs"/>
                <w:b/>
                <w:bCs/>
                <w:rtl/>
              </w:rPr>
              <w:t>פלוני נ' מדינת ישראל</w:t>
            </w:r>
            <w:r>
              <w:rPr>
                <w:rFonts w:hint="cs"/>
                <w:rtl/>
              </w:rPr>
              <w:t xml:space="preserve">, פסקה 6 (10.3.08); ע"פ 2336/15 </w:t>
            </w:r>
            <w:r>
              <w:rPr>
                <w:rFonts w:hint="cs"/>
                <w:b/>
                <w:bCs/>
                <w:rtl/>
              </w:rPr>
              <w:t>פלוני נ' מדינת ישראל</w:t>
            </w:r>
            <w:r>
              <w:rPr>
                <w:rFonts w:hint="cs"/>
                <w:rtl/>
              </w:rPr>
              <w:t xml:space="preserve">, פסקה 13 (10.1.17)).  </w:t>
            </w:r>
          </w:p>
          <w:p w:rsidR="00246A94" w:rsidRDefault="00246A94" w:rsidP="00246A94">
            <w:pPr>
              <w:pStyle w:val="a"/>
              <w:rPr>
                <w:rFonts w:ascii="Times New Roman" w:hAnsi="Times New Roman"/>
                <w:b/>
                <w:bCs/>
                <w:u w:val="single"/>
              </w:rPr>
            </w:pPr>
            <w:r>
              <w:rPr>
                <w:rFonts w:ascii="Times New Roman" w:hAnsi="Times New Roman" w:hint="cs"/>
                <w:b/>
                <w:bCs/>
                <w:u w:val="single"/>
                <w:rtl/>
              </w:rPr>
              <w:t xml:space="preserve"> הפיצוי הכספי</w:t>
            </w:r>
            <w:r>
              <w:rPr>
                <w:rFonts w:hint="cs"/>
                <w:rtl/>
              </w:rPr>
              <w:t xml:space="preserve"> </w:t>
            </w:r>
          </w:p>
          <w:p w:rsidR="00246A94" w:rsidRDefault="00246A94" w:rsidP="00246A94">
            <w:pPr>
              <w:spacing w:after="120" w:line="360" w:lineRule="auto"/>
              <w:ind w:left="720"/>
              <w:jc w:val="both"/>
              <w:rPr>
                <w:color w:val="000000"/>
              </w:rPr>
            </w:pPr>
            <w:r>
              <w:rPr>
                <w:rFonts w:ascii="David" w:hAnsi="David"/>
                <w:color w:val="000000"/>
                <w:rtl/>
              </w:rPr>
              <w:t xml:space="preserve">הנזק שנגרם לב.ב ולמשפחתה, כעולה מתסקירה, נוכח המעשים שביצע בה הנאשם, כבד ומקיף את כל מישורי חייה. תכליותיו של הפיצוי בהליך הפלילי הן, בין היתר, לתת ביטוי והכרה חברתית, במסגרת ההליך הפלילי, </w:t>
            </w:r>
            <w:r>
              <w:rPr>
                <w:rFonts w:ascii="David" w:hAnsi="David"/>
                <w:color w:val="000000"/>
                <w:rtl/>
              </w:rPr>
              <w:lastRenderedPageBreak/>
              <w:t xml:space="preserve">למעמדם ולסבלם של נפגעי העבירה, ובמקביל ולהעניק סעד מהיר יחסית לנפגעי העבירה, במטרה לסייע להם בשיקום חייהם. מובן הדבר שאין בכך כדי לשלול אפשרות מנפגעי העבירה להגיש הליך אזרחי בגין מלוא נזקיהם, ואולם אין בכך כדי לגרוע מתכליותיו האמורות של הפיצוי הפלילי. עוד נקבע שאין להתחשב במצבו הכלכלי של הנאשם (ראו דנ"פ 5625/16 </w:t>
            </w:r>
            <w:r>
              <w:rPr>
                <w:rFonts w:ascii="David" w:hAnsi="David"/>
                <w:b/>
                <w:bCs/>
                <w:color w:val="000000"/>
                <w:rtl/>
              </w:rPr>
              <w:t>אסרף נ' טווק</w:t>
            </w:r>
            <w:r>
              <w:rPr>
                <w:rFonts w:ascii="David" w:hAnsi="David"/>
                <w:color w:val="000000"/>
                <w:rtl/>
              </w:rPr>
              <w:t xml:space="preserve"> פס' 14 (13.9.17) 14; ע"פ 2649/21 </w:t>
            </w:r>
            <w:r>
              <w:rPr>
                <w:rFonts w:ascii="David" w:hAnsi="David"/>
                <w:b/>
                <w:bCs/>
                <w:color w:val="000000"/>
                <w:rtl/>
              </w:rPr>
              <w:t>סילברה נ' מדינת ישראל</w:t>
            </w:r>
            <w:r>
              <w:rPr>
                <w:rFonts w:ascii="David" w:hAnsi="David"/>
                <w:color w:val="000000"/>
                <w:rtl/>
              </w:rPr>
              <w:t xml:space="preserve"> , פס' 26 (19.2.23)). בנסיבות המקרה הנוכחי,</w:t>
            </w:r>
            <w:r>
              <w:rPr>
                <w:color w:val="000000"/>
                <w:rtl/>
              </w:rPr>
              <w:t xml:space="preserve"> מצאנו כי יש להשית על הנאשם פיצוי ברובו לטובת ב.ב  שיסייע לה להשקיע זמן וכסף בשיקומה, ובחלקו לטובת ו.ו.</w:t>
            </w:r>
          </w:p>
          <w:p w:rsidR="00246A94" w:rsidRDefault="00246A94" w:rsidP="00246A94">
            <w:pPr>
              <w:pStyle w:val="a"/>
              <w:jc w:val="both"/>
            </w:pPr>
            <w:r>
              <w:rPr>
                <w:rFonts w:hint="cs"/>
                <w:rtl/>
              </w:rPr>
              <w:t xml:space="preserve">באיזון בין השיקולים השונים, אנו סבורים כי יש לגזור על הנאשם עונש כולל בשליש התחתון של מתחמי הענישה, לצד עונש מאסר מותנה ופיצויים לנפגעות העבירה. </w:t>
            </w:r>
          </w:p>
          <w:p w:rsidR="00246A94" w:rsidRDefault="00246A94" w:rsidP="00246A94">
            <w:pPr>
              <w:pStyle w:val="a"/>
              <w:numPr>
                <w:ilvl w:val="0"/>
                <w:numId w:val="0"/>
              </w:numPr>
              <w:tabs>
                <w:tab w:val="left" w:pos="720"/>
              </w:tabs>
              <w:ind w:left="720"/>
              <w:jc w:val="both"/>
              <w:rPr>
                <w:rtl/>
              </w:rPr>
            </w:pPr>
          </w:p>
          <w:p w:rsidR="00246A94" w:rsidRDefault="00246A94" w:rsidP="00246A94">
            <w:pPr>
              <w:spacing w:after="120" w:line="360" w:lineRule="auto"/>
              <w:jc w:val="both"/>
              <w:rPr>
                <w:b/>
                <w:bCs/>
                <w:u w:val="single"/>
              </w:rPr>
            </w:pPr>
            <w:r>
              <w:rPr>
                <w:b/>
                <w:bCs/>
                <w:u w:val="single"/>
                <w:rtl/>
              </w:rPr>
              <w:t>סוף דבר</w:t>
            </w:r>
          </w:p>
          <w:p w:rsidR="00246A94" w:rsidRDefault="00246A94" w:rsidP="00246A94">
            <w:pPr>
              <w:pStyle w:val="a"/>
              <w:rPr>
                <w:rtl/>
              </w:rPr>
            </w:pPr>
            <w:r>
              <w:rPr>
                <w:rFonts w:hint="cs"/>
                <w:b/>
                <w:bCs/>
                <w:u w:val="single"/>
                <w:rtl/>
              </w:rPr>
              <w:t>אשר על-כן, אנו גוזרים על הנאשם את העונשים הבאים</w:t>
            </w:r>
            <w:r>
              <w:rPr>
                <w:rFonts w:hint="cs"/>
                <w:rtl/>
              </w:rPr>
              <w:t>:</w:t>
            </w:r>
          </w:p>
          <w:p w:rsidR="00246A94" w:rsidRDefault="00246A94" w:rsidP="00246A94">
            <w:pPr>
              <w:numPr>
                <w:ilvl w:val="1"/>
                <w:numId w:val="1"/>
              </w:numPr>
              <w:tabs>
                <w:tab w:val="num" w:pos="1286"/>
              </w:tabs>
              <w:spacing w:after="120" w:line="360" w:lineRule="auto"/>
              <w:ind w:left="1287" w:hanging="539"/>
              <w:jc w:val="both"/>
              <w:rPr>
                <w:rFonts w:ascii="David" w:hAnsi="David"/>
                <w:rtl/>
              </w:rPr>
            </w:pPr>
            <w:r>
              <w:rPr>
                <w:rFonts w:ascii="David" w:hAnsi="David"/>
                <w:b/>
                <w:bCs/>
                <w:rtl/>
              </w:rPr>
              <w:t xml:space="preserve">50 חודשי מאסר בפועל החל מיום מעצרו 7.9.22. </w:t>
            </w:r>
            <w:r>
              <w:rPr>
                <w:rFonts w:ascii="David" w:hAnsi="David"/>
                <w:rtl/>
              </w:rPr>
              <w:t xml:space="preserve"> </w:t>
            </w:r>
          </w:p>
          <w:p w:rsidR="00246A94" w:rsidRDefault="00246A94" w:rsidP="00246A94">
            <w:pPr>
              <w:numPr>
                <w:ilvl w:val="1"/>
                <w:numId w:val="1"/>
              </w:numPr>
              <w:tabs>
                <w:tab w:val="num" w:pos="1286"/>
              </w:tabs>
              <w:spacing w:after="120" w:line="360" w:lineRule="auto"/>
              <w:ind w:left="1287" w:hanging="540"/>
              <w:jc w:val="both"/>
              <w:rPr>
                <w:rFonts w:ascii="David" w:hAnsi="David"/>
              </w:rPr>
            </w:pPr>
            <w:r>
              <w:rPr>
                <w:rFonts w:ascii="David" w:hAnsi="David"/>
                <w:rtl/>
              </w:rPr>
              <w:t>18 חודשי מאסר על תנאי, לבל יעבור הנאשם במשך 3 שנים מיום שחרורו ממאסר כל עבירת מין מסוג פשע.</w:t>
            </w:r>
          </w:p>
          <w:p w:rsidR="00246A94" w:rsidRDefault="00246A94" w:rsidP="00246A94">
            <w:pPr>
              <w:numPr>
                <w:ilvl w:val="1"/>
                <w:numId w:val="1"/>
              </w:numPr>
              <w:tabs>
                <w:tab w:val="num" w:pos="1286"/>
              </w:tabs>
              <w:spacing w:after="120" w:line="360" w:lineRule="auto"/>
              <w:ind w:left="1287" w:hanging="540"/>
              <w:jc w:val="both"/>
              <w:rPr>
                <w:rFonts w:ascii="David" w:hAnsi="David"/>
              </w:rPr>
            </w:pPr>
            <w:r>
              <w:rPr>
                <w:rFonts w:ascii="David" w:hAnsi="David"/>
                <w:rtl/>
              </w:rPr>
              <w:t>9 חודשי מאסר על תנאי, לבל יעבור הנאשם במשך שנתיים מיום שחרורו ממאסר כל עבירת מין מסוג עוון.</w:t>
            </w:r>
          </w:p>
          <w:p w:rsidR="00246A94" w:rsidRDefault="00246A94" w:rsidP="00246A94">
            <w:pPr>
              <w:numPr>
                <w:ilvl w:val="1"/>
                <w:numId w:val="1"/>
              </w:numPr>
              <w:tabs>
                <w:tab w:val="num" w:pos="1286"/>
              </w:tabs>
              <w:spacing w:after="120" w:line="360" w:lineRule="auto"/>
              <w:ind w:left="1287" w:hanging="540"/>
              <w:jc w:val="both"/>
              <w:rPr>
                <w:rFonts w:ascii="Arial (W1)" w:hAnsi="Arial (W1)"/>
              </w:rPr>
            </w:pPr>
            <w:r>
              <w:rPr>
                <w:rFonts w:ascii="David" w:hAnsi="David"/>
                <w:rtl/>
                <w:lang w:eastAsia="he-IL"/>
              </w:rPr>
              <w:t>פיצוי בסך כולל של 45,000 ₪</w:t>
            </w:r>
            <w:r>
              <w:rPr>
                <w:rFonts w:ascii="David" w:hAnsi="David"/>
                <w:rtl/>
              </w:rPr>
              <w:t>, אשר יחולק כך שסך</w:t>
            </w:r>
            <w:r>
              <w:rPr>
                <w:rFonts w:ascii="David" w:hAnsi="David"/>
                <w:rtl/>
                <w:lang w:eastAsia="he-IL"/>
              </w:rPr>
              <w:t xml:space="preserve"> 35,000 ₪ לטובת ב.ב., ובסך 10,000 לטובת ו.ו. הפיצוי ישולם ב-10 תשלומים חודשיים שווים ורצופים, החל מיום 10.1.25. אם לא ישולם תשלום כלשהו במועדו, תעמוד היתרה לפירעון מיידי. </w:t>
            </w:r>
            <w:r>
              <w:rPr>
                <w:color w:val="000000"/>
                <w:rtl/>
              </w:rPr>
              <w:t xml:space="preserve">הפיצוי יועבר לאימן של כל אחת מההמתלוננות, אשר תחזיק את הסכום בנאמנות עבורה, עד שימלאו לקטינה 18 שנים. ואולם, האֵם תהיה רשאית לעשות שימוש בכסף עוד קודם לכן, עבור טיפולים לקטינה. </w:t>
            </w:r>
          </w:p>
          <w:p w:rsidR="00246A94" w:rsidRDefault="00246A94" w:rsidP="00246A94">
            <w:pPr>
              <w:spacing w:after="120" w:line="360" w:lineRule="auto"/>
              <w:ind w:firstLine="360"/>
              <w:jc w:val="both"/>
              <w:rPr>
                <w:rFonts w:ascii="David" w:hAnsi="David"/>
                <w:b/>
                <w:bCs/>
                <w:rtl/>
                <w:lang w:eastAsia="he-IL"/>
              </w:rPr>
            </w:pPr>
            <w:r>
              <w:rPr>
                <w:b/>
                <w:bCs/>
                <w:rtl/>
                <w:lang w:eastAsia="he-IL"/>
              </w:rPr>
              <w:tab/>
            </w:r>
            <w:r>
              <w:rPr>
                <w:rFonts w:ascii="David" w:hAnsi="David"/>
                <w:b/>
                <w:bCs/>
                <w:rtl/>
                <w:lang w:eastAsia="he-IL"/>
              </w:rPr>
              <w:t xml:space="preserve">זכות ערעור לבית-המשפט העליון תוך 45 ימים. </w:t>
            </w:r>
          </w:p>
          <w:p w:rsidR="007570DF" w:rsidRDefault="007570DF" w:rsidP="00246A94">
            <w:pPr>
              <w:spacing w:after="120" w:line="360" w:lineRule="auto"/>
              <w:ind w:firstLine="360"/>
              <w:jc w:val="both"/>
              <w:rPr>
                <w:rFonts w:ascii="David" w:hAnsi="David"/>
                <w:b/>
                <w:bCs/>
                <w:rtl/>
                <w:lang w:eastAsia="he-IL"/>
              </w:rPr>
            </w:pPr>
          </w:p>
          <w:p w:rsidR="00246A94" w:rsidRDefault="00246A94" w:rsidP="00246A94">
            <w:pPr>
              <w:spacing w:line="360" w:lineRule="auto"/>
              <w:jc w:val="both"/>
              <w:rPr>
                <w:rFonts w:ascii="Arial" w:hAnsi="Arial"/>
                <w:b/>
                <w:bCs/>
                <w:sz w:val="26"/>
                <w:szCs w:val="26"/>
                <w:rtl/>
              </w:rPr>
            </w:pPr>
            <w:r>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ג' כסלו תשפ"ה</w:t>
                </w:r>
              </w:sdtContent>
            </w:sdt>
            <w:r>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04 דצמבר 2024</w:t>
                </w:r>
              </w:sdtContent>
            </w:sdt>
            <w:r>
              <w:rPr>
                <w:rFonts w:ascii="Arial" w:hAnsi="Arial"/>
                <w:b/>
                <w:bCs/>
                <w:sz w:val="26"/>
                <w:szCs w:val="26"/>
                <w:rtl/>
              </w:rPr>
              <w:t>, בנוכחות הצדדים.</w:t>
            </w:r>
          </w:p>
          <w:p w:rsidR="00246A94" w:rsidRDefault="00246A94" w:rsidP="00246A94">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t xml:space="preserve">     </w:t>
            </w:r>
            <w:sdt>
              <w:sdtPr>
                <w:rPr>
                  <w:rFonts w:ascii="Arial" w:hAnsi="Arial"/>
                  <w:b/>
                  <w:bCs/>
                  <w:sz w:val="26"/>
                  <w:szCs w:val="26"/>
                  <w:rtl/>
                </w:rPr>
                <w:alias w:val="2045"/>
                <w:tag w:val="2045"/>
                <w:id w:val="2049650239"/>
                <w:placeholder>
                  <w:docPart w:val="CD069E77A2B340D5A5D5E658D7D4AD28"/>
                </w:placeholder>
                <w:showingPlcHdr/>
                <w:text w:multiLine="1"/>
              </w:sdtPr>
              <w:sdtEndPr/>
              <w:sdtContent>
                <w:r>
                  <w:rPr>
                    <w:rFonts w:ascii="Arial" w:hAnsi="Arial"/>
                    <w:b/>
                    <w:bCs/>
                    <w:sz w:val="26"/>
                    <w:szCs w:val="26"/>
                    <w:rtl/>
                  </w:rPr>
                  <w:t xml:space="preserve">    </w:t>
                </w:r>
              </w:sdtContent>
            </w:sdt>
          </w:p>
          <w:tbl>
            <w:tblPr>
              <w:tblStyle w:val="aa"/>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246A94" w:rsidTr="00246A94">
              <w:tc>
                <w:tcPr>
                  <w:tcW w:w="3383" w:type="dxa"/>
                  <w:hideMark/>
                </w:tcPr>
                <w:p w:rsidR="00246A94" w:rsidRDefault="00246A94" w:rsidP="00246A94">
                  <w:pPr>
                    <w:jc w:val="center"/>
                    <w:rPr>
                      <w:sz w:val="20"/>
                      <w:szCs w:val="20"/>
                      <w:rtl/>
                    </w:rPr>
                  </w:pPr>
                  <w:r>
                    <w:rPr>
                      <w:rFonts w:ascii="Arial" w:hAnsi="Arial"/>
                      <w:b/>
                      <w:bCs/>
                      <w:sz w:val="26"/>
                      <w:szCs w:val="26"/>
                      <w:rtl/>
                    </w:rPr>
                    <w:t xml:space="preserve">   </w:t>
                  </w:r>
                  <w:r>
                    <w:rPr>
                      <w:rFonts w:ascii="Arial" w:hAnsi="Arial"/>
                      <w:b/>
                      <w:bCs/>
                      <w:sz w:val="26"/>
                      <w:szCs w:val="26"/>
                      <w:rtl/>
                    </w:rPr>
                    <w:tab/>
                  </w:r>
                  <w:sdt>
                    <w:sdtPr>
                      <w:rPr>
                        <w:rFonts w:cs="Times New Roman"/>
                        <w:sz w:val="20"/>
                        <w:szCs w:val="20"/>
                        <w:rtl/>
                      </w:rPr>
                      <w:alias w:val="MergeField"/>
                      <w:tag w:val="2250"/>
                      <w:id w:val="-130406988"/>
                    </w:sdtPr>
                    <w:sdtEndPr/>
                    <w:sdtContent>
                      <w:r>
                        <w:rPr>
                          <w:sz w:val="20"/>
                          <w:szCs w:val="20"/>
                        </w:rPr>
                        <w:drawing>
                          <wp:inline distT="0" distB="0" distL="0" distR="0">
                            <wp:extent cx="1520190" cy="510540"/>
                            <wp:effectExtent l="0" t="0" r="3810" b="381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0190" cy="510540"/>
                                    </a:xfrm>
                                    <a:prstGeom prst="rect">
                                      <a:avLst/>
                                    </a:prstGeom>
                                    <a:noFill/>
                                    <a:ln>
                                      <a:noFill/>
                                    </a:ln>
                                  </pic:spPr>
                                </pic:pic>
                              </a:graphicData>
                            </a:graphic>
                          </wp:inline>
                        </w:drawing>
                      </w:r>
                    </w:sdtContent>
                  </w:sdt>
                </w:p>
              </w:tc>
              <w:tc>
                <w:tcPr>
                  <w:tcW w:w="3536" w:type="dxa"/>
                </w:tcPr>
                <w:p w:rsidR="00246A94" w:rsidRDefault="00246A94" w:rsidP="00246A94">
                  <w:pPr>
                    <w:spacing w:line="360" w:lineRule="auto"/>
                    <w:jc w:val="center"/>
                    <w:rPr>
                      <w:rFonts w:ascii="David" w:hAnsi="David"/>
                      <w:sz w:val="20"/>
                      <w:szCs w:val="20"/>
                      <w:rtl/>
                    </w:rPr>
                  </w:pPr>
                </w:p>
                <w:sdt>
                  <w:sdtPr>
                    <w:rPr>
                      <w:rFonts w:cs="Times New Roman" w:hint="cs"/>
                      <w:sz w:val="20"/>
                      <w:szCs w:val="20"/>
                      <w:rtl/>
                    </w:rPr>
                    <w:alias w:val="MergeField"/>
                    <w:tag w:val="2251"/>
                    <w:id w:val="-1271314896"/>
                  </w:sdtPr>
                  <w:sdtEndPr/>
                  <w:sdtContent>
                    <w:p w:rsidR="00246A94" w:rsidRDefault="00246A94" w:rsidP="00246A94">
                      <w:pPr>
                        <w:jc w:val="center"/>
                        <w:rPr>
                          <w:rFonts w:cs="Times New Roman"/>
                          <w:sz w:val="20"/>
                          <w:szCs w:val="20"/>
                        </w:rPr>
                      </w:pPr>
                      <w:r>
                        <w:rPr>
                          <w:sz w:val="20"/>
                          <w:szCs w:val="20"/>
                        </w:rPr>
                        <w:drawing>
                          <wp:inline distT="0" distB="0" distL="0" distR="0">
                            <wp:extent cx="1573530" cy="797560"/>
                            <wp:effectExtent l="0" t="0" r="7620" b="254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3530" cy="797560"/>
                                    </a:xfrm>
                                    <a:prstGeom prst="rect">
                                      <a:avLst/>
                                    </a:prstGeom>
                                    <a:noFill/>
                                    <a:ln>
                                      <a:noFill/>
                                    </a:ln>
                                  </pic:spPr>
                                </pic:pic>
                              </a:graphicData>
                            </a:graphic>
                          </wp:inline>
                        </w:drawing>
                      </w:r>
                    </w:p>
                  </w:sdtContent>
                </w:sdt>
              </w:tc>
              <w:tc>
                <w:tcPr>
                  <w:tcW w:w="3341" w:type="dxa"/>
                  <w:hideMark/>
                </w:tcPr>
                <w:sdt>
                  <w:sdtPr>
                    <w:rPr>
                      <w:rFonts w:cs="Times New Roman" w:hint="cs"/>
                      <w:sz w:val="20"/>
                      <w:szCs w:val="20"/>
                      <w:rtl/>
                    </w:rPr>
                    <w:alias w:val="MergeField"/>
                    <w:tag w:val="2252"/>
                    <w:id w:val="-248037766"/>
                  </w:sdtPr>
                  <w:sdtEndPr/>
                  <w:sdtContent>
                    <w:p w:rsidR="00246A94" w:rsidRDefault="00246A94" w:rsidP="00246A94">
                      <w:pPr>
                        <w:jc w:val="center"/>
                        <w:rPr>
                          <w:sz w:val="20"/>
                          <w:szCs w:val="20"/>
                          <w:rtl/>
                        </w:rPr>
                      </w:pPr>
                      <w:r>
                        <w:rPr>
                          <w:sz w:val="20"/>
                          <w:szCs w:val="20"/>
                        </w:rPr>
                        <w:drawing>
                          <wp:inline distT="0" distB="0" distL="0" distR="0">
                            <wp:extent cx="956945" cy="669925"/>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6945" cy="669925"/>
                                    </a:xfrm>
                                    <a:prstGeom prst="rect">
                                      <a:avLst/>
                                    </a:prstGeom>
                                    <a:noFill/>
                                    <a:ln>
                                      <a:noFill/>
                                    </a:ln>
                                  </pic:spPr>
                                </pic:pic>
                              </a:graphicData>
                            </a:graphic>
                          </wp:inline>
                        </w:drawing>
                      </w:r>
                    </w:p>
                  </w:sdtContent>
                </w:sdt>
              </w:tc>
            </w:tr>
            <w:tr w:rsidR="00246A94" w:rsidTr="00246A94">
              <w:tc>
                <w:tcPr>
                  <w:tcW w:w="3383" w:type="dxa"/>
                  <w:hideMark/>
                </w:tcPr>
                <w:p w:rsidR="00246A94" w:rsidRDefault="00C46B14" w:rsidP="00246A94">
                  <w:pPr>
                    <w:spacing w:line="360" w:lineRule="auto"/>
                    <w:jc w:val="center"/>
                    <w:rPr>
                      <w:rFonts w:ascii="David" w:hAnsi="David"/>
                    </w:rPr>
                  </w:pPr>
                  <w:sdt>
                    <w:sdtPr>
                      <w:rPr>
                        <w:rtl/>
                      </w:rPr>
                      <w:alias w:val="2235"/>
                      <w:tag w:val="2235"/>
                      <w:id w:val="1100069598"/>
                    </w:sdtPr>
                    <w:sdtEndPr/>
                    <w:sdtContent>
                      <w:r w:rsidR="00246A94">
                        <w:rPr>
                          <w:rFonts w:ascii="David" w:hAnsi="David"/>
                          <w:rtl/>
                        </w:rPr>
                        <w:t>עמי</w:t>
                      </w:r>
                    </w:sdtContent>
                  </w:sdt>
                  <w:r w:rsidR="00246A94">
                    <w:rPr>
                      <w:rFonts w:ascii="David" w:hAnsi="David"/>
                      <w:rtl/>
                    </w:rPr>
                    <w:t xml:space="preserve">  </w:t>
                  </w:r>
                  <w:sdt>
                    <w:sdtPr>
                      <w:rPr>
                        <w:rFonts w:cs="Times New Roman" w:hint="cs"/>
                        <w:rtl/>
                      </w:rPr>
                      <w:alias w:val="2240"/>
                      <w:tag w:val="2240"/>
                      <w:id w:val="825638415"/>
                    </w:sdtPr>
                    <w:sdtEndPr/>
                    <w:sdtContent>
                      <w:r w:rsidR="00246A94">
                        <w:rPr>
                          <w:rFonts w:ascii="David" w:hAnsi="David"/>
                          <w:rtl/>
                        </w:rPr>
                        <w:t>קובו</w:t>
                      </w:r>
                    </w:sdtContent>
                  </w:sdt>
                  <w:r w:rsidR="00246A94">
                    <w:rPr>
                      <w:rFonts w:ascii="David" w:hAnsi="David"/>
                      <w:rtl/>
                    </w:rPr>
                    <w:t xml:space="preserve">, </w:t>
                  </w:r>
                  <w:sdt>
                    <w:sdtPr>
                      <w:rPr>
                        <w:rFonts w:cs="Times New Roman" w:hint="cs"/>
                        <w:rtl/>
                      </w:rPr>
                      <w:alias w:val="2245"/>
                      <w:tag w:val="2245"/>
                      <w:id w:val="533847746"/>
                    </w:sdtPr>
                    <w:sdtEndPr/>
                    <w:sdtContent>
                      <w:r w:rsidR="00246A94">
                        <w:rPr>
                          <w:rFonts w:ascii="David" w:hAnsi="David"/>
                          <w:rtl/>
                        </w:rPr>
                        <w:t xml:space="preserve">שופט,                             סגן הנשיאה, </w:t>
                      </w:r>
                    </w:sdtContent>
                  </w:sdt>
                </w:p>
              </w:tc>
              <w:tc>
                <w:tcPr>
                  <w:tcW w:w="3536" w:type="dxa"/>
                  <w:hideMark/>
                </w:tcPr>
                <w:p w:rsidR="00246A94" w:rsidRDefault="00C46B14" w:rsidP="00246A94">
                  <w:pPr>
                    <w:spacing w:line="360" w:lineRule="auto"/>
                    <w:jc w:val="center"/>
                    <w:rPr>
                      <w:rFonts w:ascii="David" w:hAnsi="David"/>
                    </w:rPr>
                  </w:pPr>
                  <w:sdt>
                    <w:sdtPr>
                      <w:rPr>
                        <w:rtl/>
                      </w:rPr>
                      <w:alias w:val="2236"/>
                      <w:tag w:val="2236"/>
                      <w:id w:val="639300144"/>
                    </w:sdtPr>
                    <w:sdtEndPr/>
                    <w:sdtContent>
                      <w:r w:rsidR="00246A94">
                        <w:rPr>
                          <w:rFonts w:ascii="David" w:hAnsi="David"/>
                          <w:rtl/>
                        </w:rPr>
                        <w:t>מיכאל</w:t>
                      </w:r>
                    </w:sdtContent>
                  </w:sdt>
                  <w:r w:rsidR="00246A94">
                    <w:rPr>
                      <w:rFonts w:ascii="David" w:hAnsi="David"/>
                      <w:rtl/>
                    </w:rPr>
                    <w:t xml:space="preserve"> </w:t>
                  </w:r>
                  <w:sdt>
                    <w:sdtPr>
                      <w:rPr>
                        <w:rFonts w:cs="Times New Roman" w:hint="cs"/>
                        <w:rtl/>
                      </w:rPr>
                      <w:alias w:val="2241"/>
                      <w:tag w:val="2241"/>
                      <w:id w:val="-2097088705"/>
                    </w:sdtPr>
                    <w:sdtEndPr/>
                    <w:sdtContent>
                      <w:r w:rsidR="00246A94">
                        <w:rPr>
                          <w:rFonts w:ascii="David" w:hAnsi="David"/>
                          <w:rtl/>
                        </w:rPr>
                        <w:t>קרשן</w:t>
                      </w:r>
                    </w:sdtContent>
                  </w:sdt>
                  <w:r w:rsidR="00246A94">
                    <w:rPr>
                      <w:rFonts w:ascii="David" w:hAnsi="David"/>
                      <w:rtl/>
                    </w:rPr>
                    <w:t xml:space="preserve">, </w:t>
                  </w:r>
                  <w:sdt>
                    <w:sdtPr>
                      <w:rPr>
                        <w:rFonts w:cs="Times New Roman" w:hint="cs"/>
                        <w:rtl/>
                      </w:rPr>
                      <w:alias w:val="2246"/>
                      <w:tag w:val="2246"/>
                      <w:id w:val="-1989393221"/>
                    </w:sdtPr>
                    <w:sdtEndPr/>
                    <w:sdtContent>
                      <w:r w:rsidR="00246A94">
                        <w:rPr>
                          <w:rFonts w:ascii="David" w:hAnsi="David"/>
                          <w:rtl/>
                        </w:rPr>
                        <w:t>שופט</w:t>
                      </w:r>
                    </w:sdtContent>
                  </w:sdt>
                </w:p>
              </w:tc>
              <w:tc>
                <w:tcPr>
                  <w:tcW w:w="3341" w:type="dxa"/>
                  <w:hideMark/>
                </w:tcPr>
                <w:p w:rsidR="00246A94" w:rsidRDefault="00C46B14" w:rsidP="00246A94">
                  <w:pPr>
                    <w:spacing w:line="360" w:lineRule="auto"/>
                    <w:jc w:val="center"/>
                    <w:rPr>
                      <w:rFonts w:ascii="David" w:hAnsi="David"/>
                      <w:rtl/>
                    </w:rPr>
                  </w:pPr>
                  <w:sdt>
                    <w:sdtPr>
                      <w:rPr>
                        <w:rtl/>
                      </w:rPr>
                      <w:alias w:val="2237"/>
                      <w:tag w:val="2237"/>
                      <w:id w:val="-31890643"/>
                    </w:sdtPr>
                    <w:sdtEndPr/>
                    <w:sdtContent>
                      <w:r w:rsidR="00246A94">
                        <w:rPr>
                          <w:rFonts w:ascii="David" w:hAnsi="David"/>
                          <w:rtl/>
                        </w:rPr>
                        <w:t>מרב</w:t>
                      </w:r>
                    </w:sdtContent>
                  </w:sdt>
                  <w:r w:rsidR="00246A94">
                    <w:rPr>
                      <w:rFonts w:ascii="David" w:hAnsi="David"/>
                      <w:rtl/>
                    </w:rPr>
                    <w:t xml:space="preserve"> </w:t>
                  </w:r>
                  <w:sdt>
                    <w:sdtPr>
                      <w:rPr>
                        <w:rFonts w:cs="Times New Roman" w:hint="cs"/>
                        <w:rtl/>
                      </w:rPr>
                      <w:alias w:val="2242"/>
                      <w:tag w:val="2242"/>
                      <w:id w:val="358854881"/>
                    </w:sdtPr>
                    <w:sdtEndPr/>
                    <w:sdtContent>
                      <w:r w:rsidR="00246A94">
                        <w:rPr>
                          <w:rFonts w:ascii="David" w:hAnsi="David"/>
                          <w:rtl/>
                        </w:rPr>
                        <w:t>גרינברג</w:t>
                      </w:r>
                    </w:sdtContent>
                  </w:sdt>
                  <w:r w:rsidR="00246A94">
                    <w:rPr>
                      <w:rFonts w:ascii="David" w:hAnsi="David"/>
                      <w:rtl/>
                    </w:rPr>
                    <w:t xml:space="preserve">, </w:t>
                  </w:r>
                  <w:sdt>
                    <w:sdtPr>
                      <w:rPr>
                        <w:rFonts w:cs="Times New Roman" w:hint="cs"/>
                        <w:rtl/>
                      </w:rPr>
                      <w:alias w:val="2247"/>
                      <w:tag w:val="2247"/>
                      <w:id w:val="243227774"/>
                    </w:sdtPr>
                    <w:sdtEndPr/>
                    <w:sdtContent>
                      <w:r w:rsidR="00246A94">
                        <w:rPr>
                          <w:rFonts w:ascii="David" w:hAnsi="David"/>
                          <w:rtl/>
                        </w:rPr>
                        <w:t>שופטת</w:t>
                      </w:r>
                    </w:sdtContent>
                  </w:sdt>
                </w:p>
              </w:tc>
            </w:tr>
          </w:tbl>
          <w:p w:rsidR="00246A94" w:rsidRDefault="00246A94" w:rsidP="00246A94">
            <w:pPr>
              <w:spacing w:line="360" w:lineRule="auto"/>
              <w:jc w:val="both"/>
              <w:rPr>
                <w:rFonts w:asciiTheme="minorHAnsi" w:hAnsiTheme="minorHAnsi" w:cstheme="minorBidi"/>
                <w:sz w:val="22"/>
                <w:szCs w:val="22"/>
                <w:rtl/>
              </w:rPr>
            </w:pPr>
            <w:r>
              <w:rPr>
                <w:rtl/>
              </w:rPr>
              <w:lastRenderedPageBreak/>
              <w:t xml:space="preserve"> </w:t>
            </w:r>
          </w:p>
          <w:p w:rsidR="00246A94" w:rsidRDefault="00246A94" w:rsidP="00246A94">
            <w:pPr>
              <w:rPr>
                <w:sz w:val="28"/>
                <w:szCs w:val="28"/>
                <w:rtl/>
              </w:rPr>
            </w:pPr>
          </w:p>
          <w:p w:rsidR="00246A94" w:rsidRDefault="00246A94" w:rsidP="00246A94">
            <w:pPr>
              <w:jc w:val="center"/>
              <w:rPr>
                <w:rFonts w:ascii="Arial" w:hAnsi="Arial"/>
                <w:b/>
                <w:bCs/>
                <w:sz w:val="26"/>
                <w:szCs w:val="26"/>
                <w:rtl/>
              </w:rPr>
            </w:pPr>
          </w:p>
          <w:p w:rsidR="0094424E" w:rsidRPr="008A59EE" w:rsidRDefault="0094424E" w:rsidP="00D44968">
            <w:pPr>
              <w:suppressLineNumbers/>
              <w:jc w:val="both"/>
              <w:rPr>
                <w:rFonts w:ascii="Arial" w:hAnsi="Arial"/>
                <w:b/>
                <w:bCs/>
                <w:sz w:val="26"/>
                <w:szCs w:val="26"/>
                <w:rtl/>
              </w:rPr>
            </w:pPr>
          </w:p>
        </w:tc>
        <w:tc>
          <w:tcPr>
            <w:tcW w:w="8077" w:type="dxa"/>
          </w:tcPr>
          <w:p w:rsidR="00007DE0" w:rsidRPr="008A59EE" w:rsidRDefault="00007DE0" w:rsidP="00007DE0">
            <w:pPr>
              <w:suppressLineNumbers/>
              <w:rPr>
                <w:sz w:val="26"/>
                <w:szCs w:val="26"/>
              </w:rPr>
            </w:pPr>
          </w:p>
        </w:tc>
      </w:tr>
      <w:tr w:rsidR="0094424E" w:rsidTr="00465D36">
        <w:trPr>
          <w:jc w:val="center"/>
        </w:trPr>
        <w:tc>
          <w:tcPr>
            <w:tcW w:w="3249" w:type="dxa"/>
          </w:tcPr>
          <w:p w:rsidR="00123918" w:rsidRDefault="00123918">
            <w:pPr>
              <w:suppressLineNumbers/>
              <w:rPr>
                <w:rFonts w:ascii="Arial" w:hAnsi="Arial"/>
                <w:b/>
                <w:bCs/>
                <w:noProof w:val="0"/>
                <w:sz w:val="26"/>
                <w:szCs w:val="26"/>
                <w:rtl/>
              </w:rPr>
            </w:pPr>
          </w:p>
        </w:tc>
        <w:tc>
          <w:tcPr>
            <w:tcW w:w="5571" w:type="dxa"/>
          </w:tcPr>
          <w:p w:rsidR="0094424E" w:rsidRDefault="0094424E" w:rsidP="00FE09EC">
            <w:pPr>
              <w:suppressLineNumbers/>
              <w:rPr>
                <w:b/>
                <w:bCs/>
                <w:noProof w:val="0"/>
                <w:sz w:val="26"/>
                <w:szCs w:val="26"/>
              </w:rPr>
            </w:pPr>
          </w:p>
        </w:tc>
      </w:tr>
      <w:tr w:rsidR="0094424E">
        <w:trPr>
          <w:jc w:val="center"/>
        </w:trPr>
        <w:tc>
          <w:tcPr>
            <w:tcW w:w="8820" w:type="dxa"/>
            <w:gridSpan w:val="2"/>
          </w:tcPr>
          <w:p w:rsidR="0094424E" w:rsidRDefault="0094424E" w:rsidP="00D44968">
            <w:pPr>
              <w:suppressLineNumbers/>
              <w:rPr>
                <w:rFonts w:ascii="Arial" w:hAnsi="Arial"/>
                <w:b/>
                <w:bCs/>
                <w:noProof w:val="0"/>
                <w:sz w:val="26"/>
                <w:szCs w:val="26"/>
              </w:rPr>
            </w:pPr>
          </w:p>
        </w:tc>
      </w:tr>
      <w:tr w:rsidR="0094424E">
        <w:trPr>
          <w:jc w:val="center"/>
        </w:trPr>
        <w:tc>
          <w:tcPr>
            <w:tcW w:w="3249" w:type="dxa"/>
          </w:tcPr>
          <w:p w:rsidR="0094424E" w:rsidRDefault="0094424E" w:rsidP="00D44968">
            <w:pPr>
              <w:suppressLineNumbers/>
              <w:rPr>
                <w:rFonts w:ascii="Arial" w:hAnsi="Arial"/>
                <w:b/>
                <w:bCs/>
                <w:noProof w:val="0"/>
                <w:sz w:val="26"/>
                <w:szCs w:val="26"/>
              </w:rPr>
            </w:pPr>
          </w:p>
        </w:tc>
        <w:tc>
          <w:tcPr>
            <w:tcW w:w="5571" w:type="dxa"/>
          </w:tcPr>
          <w:p w:rsidR="00CF6BB7" w:rsidRPr="00CD516B" w:rsidRDefault="00CF6BB7" w:rsidP="00FE09EC">
            <w:pPr>
              <w:suppressLineNumbers/>
              <w:rPr>
                <w:rFonts w:ascii="Arial" w:hAnsi="Arial"/>
                <w:b/>
                <w:bCs/>
                <w:noProof w:val="0"/>
                <w:sz w:val="26"/>
                <w:szCs w:val="26"/>
                <w:rtl/>
              </w:rPr>
            </w:pPr>
          </w:p>
        </w:tc>
      </w:tr>
      <w:tr w:rsidR="00CF6BB7" w:rsidTr="00280865">
        <w:trPr>
          <w:jc w:val="center"/>
        </w:trPr>
        <w:tc>
          <w:tcPr>
            <w:tcW w:w="8820" w:type="dxa"/>
            <w:gridSpan w:val="2"/>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tcPr>
          <w:p w:rsidR="00B62AD7" w:rsidRPr="00B62AD7" w:rsidRDefault="00C46B14" w:rsidP="00B66717">
            <w:pPr>
              <w:rPr>
                <w:rFonts w:ascii="David" w:eastAsia="David" w:hAnsi="David"/>
                <w:b/>
                <w:bCs/>
                <w:noProof w:val="0"/>
              </w:rPr>
            </w:pPr>
            <w:sdt>
              <w:sdtPr>
                <w:rPr>
                  <w:rFonts w:ascii="David" w:eastAsia="David" w:hAnsi="David"/>
                  <w:b/>
                  <w:bCs/>
                  <w:rtl/>
                </w:rPr>
                <w:alias w:val="2360"/>
                <w:tag w:val="2360"/>
                <w:id w:val="-224524960"/>
                <w:lock w:val="contentLocked"/>
                <w:placeholder>
                  <w:docPart w:val="610C6E051A88448494B3C30FBAD74773"/>
                </w:placeholder>
                <w:text w:multiLine="1"/>
              </w:sdtPr>
              <w:sdtEndPr/>
              <w:sdtContent/>
            </w:sdt>
          </w:p>
        </w:tc>
        <w:tc>
          <w:tcPr>
            <w:tcW w:w="5571" w:type="dxa"/>
          </w:tcPr>
          <w:p w:rsidR="00CF6BB7" w:rsidRDefault="00C46B14" w:rsidP="00B66717">
            <w:pPr>
              <w:rPr>
                <w:b/>
                <w:bCs/>
                <w:sz w:val="26"/>
                <w:szCs w:val="26"/>
                <w:rtl/>
              </w:rPr>
            </w:pPr>
            <w:sdt>
              <w:sdtPr>
                <w:rPr>
                  <w:b/>
                  <w:bCs/>
                  <w:sz w:val="26"/>
                  <w:szCs w:val="26"/>
                  <w:rtl/>
                </w:rPr>
                <w:alias w:val="3153"/>
                <w:tag w:val="3153"/>
                <w:id w:val="-1042055233"/>
                <w:lock w:val="contentLocked"/>
                <w:placeholder>
                  <w:docPart w:val="E94836ADA6264C72A55F651E19C4C7A6"/>
                </w:placeholder>
                <w:text w:multiLine="1"/>
              </w:sdtPr>
              <w:sdtEndPr/>
              <w:sdtContent/>
            </w:sdt>
          </w:p>
          <w:p w:rsidR="00B66717" w:rsidRPr="00B62AD7" w:rsidRDefault="00B66717" w:rsidP="00B66717">
            <w:pPr>
              <w:rPr>
                <w:b/>
                <w:bCs/>
                <w:sz w:val="26"/>
                <w:szCs w:val="26"/>
              </w:rPr>
            </w:pPr>
          </w:p>
        </w:tc>
      </w:tr>
      <w:tr w:rsidR="004C17EE" w:rsidTr="00D620FD">
        <w:trPr>
          <w:jc w:val="center"/>
        </w:trPr>
        <w:tc>
          <w:tcPr>
            <w:tcW w:w="8820" w:type="dxa"/>
            <w:gridSpan w:val="2"/>
          </w:tcPr>
          <w:p w:rsidR="00123918" w:rsidRDefault="00123918">
            <w:pPr>
              <w:suppressLineNumbers/>
              <w:rPr>
                <w:rFonts w:ascii="Arial" w:hAnsi="Arial"/>
                <w:b/>
                <w:bCs/>
                <w:noProof w:val="0"/>
                <w:sz w:val="26"/>
                <w:szCs w:val="26"/>
                <w:rtl/>
              </w:rPr>
            </w:pPr>
          </w:p>
        </w:tc>
      </w:tr>
    </w:tbl>
    <w:p w:rsidR="0094424E" w:rsidRDefault="0094424E" w:rsidP="00D44968">
      <w:pPr>
        <w:suppressLineNumbers/>
        <w:rPr>
          <w:rtl/>
        </w:rPr>
      </w:pPr>
    </w:p>
    <w:sectPr w:rsidR="0094424E" w:rsidSect="00891F42">
      <w:headerReference w:type="default" r:id="rId11"/>
      <w:footerReference w:type="default" r:id="rId12"/>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B14" w:rsidRDefault="00C46B14">
      <w:r>
        <w:separator/>
      </w:r>
    </w:p>
  </w:endnote>
  <w:endnote w:type="continuationSeparator" w:id="0">
    <w:p w:rsidR="00C46B14" w:rsidRDefault="00C46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5"/>
      <w:jc w:val="center"/>
      <w:rPr>
        <w:rStyle w:val="ac"/>
        <w:rFonts w:ascii="David" w:hAnsi="David"/>
      </w:rPr>
    </w:pPr>
    <w:r w:rsidRPr="00E765F7">
      <w:rPr>
        <w:rStyle w:val="ac"/>
        <w:rFonts w:ascii="David" w:hAnsi="David"/>
      </w:rPr>
      <w:fldChar w:fldCharType="begin"/>
    </w:r>
    <w:r w:rsidR="00005C8B" w:rsidRPr="00E765F7">
      <w:rPr>
        <w:rStyle w:val="ac"/>
        <w:rFonts w:ascii="David" w:hAnsi="David"/>
      </w:rPr>
      <w:instrText xml:space="preserve"> PAGE </w:instrText>
    </w:r>
    <w:r w:rsidRPr="00E765F7">
      <w:rPr>
        <w:rStyle w:val="ac"/>
        <w:rFonts w:ascii="David" w:hAnsi="David"/>
      </w:rPr>
      <w:fldChar w:fldCharType="separate"/>
    </w:r>
    <w:r w:rsidR="00BE5104">
      <w:rPr>
        <w:rStyle w:val="ac"/>
        <w:rFonts w:ascii="David" w:hAnsi="David"/>
        <w:rtl/>
      </w:rPr>
      <w:t>1</w:t>
    </w:r>
    <w:r w:rsidRPr="00E765F7">
      <w:rPr>
        <w:rStyle w:val="ac"/>
        <w:rFonts w:ascii="David" w:hAnsi="David"/>
      </w:rPr>
      <w:fldChar w:fldCharType="end"/>
    </w:r>
    <w:r w:rsidR="00005C8B" w:rsidRPr="00E765F7">
      <w:rPr>
        <w:rStyle w:val="ac"/>
        <w:rFonts w:ascii="David" w:hAnsi="David"/>
        <w:rtl/>
      </w:rPr>
      <w:t xml:space="preserve"> מתוך </w:t>
    </w:r>
    <w:r w:rsidRPr="00E765F7">
      <w:rPr>
        <w:rStyle w:val="ac"/>
        <w:rFonts w:ascii="David" w:hAnsi="David"/>
      </w:rPr>
      <w:fldChar w:fldCharType="begin"/>
    </w:r>
    <w:r w:rsidR="00005C8B" w:rsidRPr="00E765F7">
      <w:rPr>
        <w:rStyle w:val="ac"/>
        <w:rFonts w:ascii="David" w:hAnsi="David"/>
      </w:rPr>
      <w:instrText xml:space="preserve"> NUMPAGES </w:instrText>
    </w:r>
    <w:r w:rsidRPr="00E765F7">
      <w:rPr>
        <w:rStyle w:val="ac"/>
        <w:rFonts w:ascii="David" w:hAnsi="David"/>
      </w:rPr>
      <w:fldChar w:fldCharType="separate"/>
    </w:r>
    <w:r w:rsidR="00BE5104">
      <w:rPr>
        <w:rStyle w:val="ac"/>
        <w:rFonts w:ascii="David" w:hAnsi="David"/>
        <w:rtl/>
      </w:rPr>
      <w:t>9</w:t>
    </w:r>
    <w:r w:rsidRPr="00E765F7">
      <w:rPr>
        <w:rStyle w:val="ac"/>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B14" w:rsidRDefault="00C46B14">
      <w:r>
        <w:separator/>
      </w:r>
    </w:p>
  </w:footnote>
  <w:footnote w:type="continuationSeparator" w:id="0">
    <w:p w:rsidR="00C46B14" w:rsidRDefault="00C46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4"/>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4"/>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4"/>
            <w:jc w:val="right"/>
            <w:rPr>
              <w:b/>
              <w:bCs/>
              <w:noProof w:val="0"/>
              <w:sz w:val="26"/>
              <w:szCs w:val="26"/>
              <w:rtl/>
            </w:rPr>
          </w:pPr>
        </w:p>
      </w:tc>
    </w:tr>
    <w:tr w:rsidR="00694556">
      <w:trPr>
        <w:trHeight w:val="337"/>
        <w:jc w:val="center"/>
      </w:trPr>
      <w:tc>
        <w:tcPr>
          <w:tcW w:w="8721" w:type="dxa"/>
          <w:gridSpan w:val="2"/>
        </w:tcPr>
        <w:p w:rsidR="007D45E3" w:rsidRDefault="00C46B14" w:rsidP="00246A94">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תפח"ע</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38162-09-22</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מדינת ישראל נ'</w:t>
              </w:r>
              <w:r w:rsidR="00246A94">
                <w:rPr>
                  <w:rFonts w:hint="cs"/>
                  <w:b/>
                  <w:bCs/>
                  <w:noProof w:val="0"/>
                  <w:sz w:val="26"/>
                  <w:szCs w:val="26"/>
                  <w:rtl/>
                </w:rPr>
                <w:t xml:space="preserve"> פלוני</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4"/>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E6DF5"/>
    <w:multiLevelType w:val="hybridMultilevel"/>
    <w:tmpl w:val="F23C750E"/>
    <w:lvl w:ilvl="0" w:tplc="0CA45970">
      <w:start w:val="1"/>
      <w:numFmt w:val="decimal"/>
      <w:pStyle w:val="a"/>
      <w:lvlText w:val="%1."/>
      <w:lvlJc w:val="left"/>
      <w:pPr>
        <w:tabs>
          <w:tab w:val="num" w:pos="720"/>
        </w:tabs>
        <w:ind w:left="720" w:hanging="720"/>
      </w:pPr>
      <w:rPr>
        <w:b w:val="0"/>
        <w:bCs w:val="0"/>
        <w:lang w:bidi="he-IL"/>
      </w:rPr>
    </w:lvl>
    <w:lvl w:ilvl="1" w:tplc="FEB4E978">
      <w:start w:val="1"/>
      <w:numFmt w:val="hebrew1"/>
      <w:lvlText w:val="%2."/>
      <w:lvlJc w:val="left"/>
      <w:pPr>
        <w:tabs>
          <w:tab w:val="num" w:pos="1620"/>
        </w:tabs>
        <w:ind w:left="1620" w:hanging="360"/>
      </w:pPr>
      <w:rPr>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3918"/>
    <w:rsid w:val="001367BC"/>
    <w:rsid w:val="00144D2A"/>
    <w:rsid w:val="0014653E"/>
    <w:rsid w:val="00180519"/>
    <w:rsid w:val="00191C82"/>
    <w:rsid w:val="001C4003"/>
    <w:rsid w:val="001D4DBF"/>
    <w:rsid w:val="001E75CA"/>
    <w:rsid w:val="002265FF"/>
    <w:rsid w:val="00235B97"/>
    <w:rsid w:val="00246A94"/>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C140C"/>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6F6777"/>
    <w:rsid w:val="00704EDA"/>
    <w:rsid w:val="00721122"/>
    <w:rsid w:val="00734689"/>
    <w:rsid w:val="00753019"/>
    <w:rsid w:val="00754801"/>
    <w:rsid w:val="007570DF"/>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E5104"/>
    <w:rsid w:val="00BF1908"/>
    <w:rsid w:val="00C22D93"/>
    <w:rsid w:val="00C23458"/>
    <w:rsid w:val="00C31120"/>
    <w:rsid w:val="00C34482"/>
    <w:rsid w:val="00C43648"/>
    <w:rsid w:val="00C46B14"/>
    <w:rsid w:val="00C50A9F"/>
    <w:rsid w:val="00C642FA"/>
    <w:rsid w:val="00CC7622"/>
    <w:rsid w:val="00CD516B"/>
    <w:rsid w:val="00CD608F"/>
    <w:rsid w:val="00CE0084"/>
    <w:rsid w:val="00CF6BB7"/>
    <w:rsid w:val="00D04AA4"/>
    <w:rsid w:val="00D27982"/>
    <w:rsid w:val="00D33B86"/>
    <w:rsid w:val="00D352DC"/>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4423"/>
    <w:pPr>
      <w:bidi/>
    </w:pPr>
    <w:rPr>
      <w:rFonts w:cs="David"/>
      <w:noProof/>
      <w:sz w:val="24"/>
      <w:szCs w:val="24"/>
    </w:rPr>
  </w:style>
  <w:style w:type="paragraph" w:styleId="4">
    <w:name w:val="heading 4"/>
    <w:basedOn w:val="a0"/>
    <w:next w:val="a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C64423"/>
    <w:pPr>
      <w:tabs>
        <w:tab w:val="center" w:pos="4153"/>
        <w:tab w:val="right" w:pos="8306"/>
      </w:tabs>
    </w:pPr>
  </w:style>
  <w:style w:type="paragraph" w:styleId="a5">
    <w:name w:val="footer"/>
    <w:basedOn w:val="a0"/>
    <w:rsid w:val="00C64423"/>
    <w:pPr>
      <w:tabs>
        <w:tab w:val="center" w:pos="4153"/>
        <w:tab w:val="right" w:pos="8306"/>
      </w:tabs>
    </w:pPr>
  </w:style>
  <w:style w:type="paragraph" w:customStyle="1" w:styleId="a6">
    <w:name w:val="סעיפים"/>
    <w:basedOn w:val="a0"/>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0"/>
    <w:semiHidden/>
    <w:rsid w:val="00C64423"/>
    <w:rPr>
      <w:rFonts w:cs="Times New Roman"/>
      <w:noProof w:val="0"/>
    </w:rPr>
  </w:style>
  <w:style w:type="character" w:styleId="a8">
    <w:name w:val="annotation reference"/>
    <w:basedOn w:val="a1"/>
    <w:semiHidden/>
    <w:rsid w:val="00C64423"/>
    <w:rPr>
      <w:sz w:val="16"/>
      <w:szCs w:val="16"/>
    </w:rPr>
  </w:style>
  <w:style w:type="paragraph" w:styleId="a9">
    <w:name w:val="Balloon Text"/>
    <w:basedOn w:val="a0"/>
    <w:semiHidden/>
    <w:rsid w:val="00C64423"/>
    <w:rPr>
      <w:rFonts w:ascii="Tahoma" w:hAnsi="Tahoma" w:cs="Tahoma"/>
      <w:sz w:val="16"/>
      <w:szCs w:val="16"/>
    </w:rPr>
  </w:style>
  <w:style w:type="table" w:styleId="aa">
    <w:name w:val="Table Grid"/>
    <w:basedOn w:val="a2"/>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1"/>
    <w:rsid w:val="00C64423"/>
  </w:style>
  <w:style w:type="character" w:styleId="ac">
    <w:name w:val="page number"/>
    <w:basedOn w:val="a1"/>
    <w:rsid w:val="00C64423"/>
  </w:style>
  <w:style w:type="table" w:customStyle="1" w:styleId="1">
    <w:name w:val="טבלת רשת1"/>
    <w:basedOn w:val="a2"/>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1"/>
    <w:uiPriority w:val="99"/>
    <w:semiHidden/>
    <w:rsid w:val="003230C7"/>
    <w:rPr>
      <w:color w:val="808080"/>
    </w:rPr>
  </w:style>
  <w:style w:type="character" w:customStyle="1" w:styleId="ae">
    <w:name w:val="פיסקת רשימה תו"/>
    <w:link w:val="af"/>
    <w:uiPriority w:val="34"/>
    <w:locked/>
    <w:rsid w:val="00246A94"/>
    <w:rPr>
      <w:rFonts w:ascii="Arial (W1)" w:hAnsi="Arial (W1)" w:cs="David"/>
      <w:sz w:val="24"/>
      <w:szCs w:val="24"/>
    </w:rPr>
  </w:style>
  <w:style w:type="paragraph" w:styleId="af">
    <w:name w:val="List Paragraph"/>
    <w:basedOn w:val="a0"/>
    <w:link w:val="ae"/>
    <w:uiPriority w:val="34"/>
    <w:qFormat/>
    <w:rsid w:val="00246A94"/>
    <w:pPr>
      <w:ind w:left="720"/>
      <w:contextualSpacing/>
    </w:pPr>
    <w:rPr>
      <w:rFonts w:ascii="Arial (W1)" w:hAnsi="Arial (W1)"/>
      <w:noProof w:val="0"/>
    </w:rPr>
  </w:style>
  <w:style w:type="paragraph" w:customStyle="1" w:styleId="af0">
    <w:name w:val="כותרת"/>
    <w:basedOn w:val="a0"/>
    <w:next w:val="af1"/>
    <w:autoRedefine/>
    <w:rsid w:val="00246A94"/>
    <w:pPr>
      <w:spacing w:after="120" w:line="360" w:lineRule="auto"/>
    </w:pPr>
    <w:rPr>
      <w:bCs/>
      <w:noProof w:val="0"/>
      <w:u w:val="single"/>
      <w:lang w:eastAsia="he-IL"/>
    </w:rPr>
  </w:style>
  <w:style w:type="paragraph" w:customStyle="1" w:styleId="a">
    <w:name w:val="ממוספר"/>
    <w:basedOn w:val="a0"/>
    <w:rsid w:val="00246A94"/>
    <w:pPr>
      <w:numPr>
        <w:numId w:val="1"/>
      </w:numPr>
      <w:spacing w:after="120" w:line="360" w:lineRule="auto"/>
    </w:pPr>
    <w:rPr>
      <w:rFonts w:ascii="David" w:hAnsi="David"/>
      <w:noProof w:val="0"/>
      <w:color w:val="000000"/>
    </w:rPr>
  </w:style>
  <w:style w:type="paragraph" w:styleId="af1">
    <w:name w:val="List"/>
    <w:basedOn w:val="a0"/>
    <w:semiHidden/>
    <w:unhideWhenUsed/>
    <w:rsid w:val="00246A94"/>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29680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610C6E051A88448494B3C30FBAD74773"/>
        <w:category>
          <w:name w:val="כללי"/>
          <w:gallery w:val="placeholder"/>
        </w:category>
        <w:types>
          <w:type w:val="bbPlcHdr"/>
        </w:types>
        <w:behaviors>
          <w:behavior w:val="content"/>
        </w:behaviors>
        <w:guid w:val="{32729ED7-1D63-4C4A-930C-D34E871FB7B5}"/>
      </w:docPartPr>
      <w:docPartBody>
        <w:p w:rsidR="00D6580E" w:rsidRDefault="00A74356" w:rsidP="00A74356">
          <w:pPr>
            <w:pStyle w:val="610C6E051A88448494B3C30FBAD747735"/>
          </w:pPr>
          <w:r w:rsidRPr="00B62AD7">
            <w:rPr>
              <w:rFonts w:ascii="David" w:eastAsia="David" w:hAnsi="David"/>
              <w:b/>
              <w:bCs/>
              <w:rtl/>
            </w:rPr>
            <w:t>מעמד.כינוי צד ג'</w:t>
          </w:r>
        </w:p>
      </w:docPartBody>
    </w:docPart>
    <w:docPart>
      <w:docPartPr>
        <w:name w:val="E94836ADA6264C72A55F651E19C4C7A6"/>
        <w:category>
          <w:name w:val="כללי"/>
          <w:gallery w:val="placeholder"/>
        </w:category>
        <w:types>
          <w:type w:val="bbPlcHdr"/>
        </w:types>
        <w:behaviors>
          <w:behavior w:val="content"/>
        </w:behaviors>
        <w:guid w:val="{A0E10C2F-5C5A-45D6-A5C8-AC7BEA29373A}"/>
      </w:docPartPr>
      <w:docPartBody>
        <w:p w:rsidR="00D6580E" w:rsidRDefault="00A74356" w:rsidP="00A74356">
          <w:pPr>
            <w:pStyle w:val="E94836ADA6264C72A55F651E19C4C7A65"/>
          </w:pPr>
          <w:r w:rsidRPr="00B62AD7">
            <w:rPr>
              <w:b/>
              <w:bCs/>
              <w:sz w:val="26"/>
              <w:szCs w:val="26"/>
              <w:rtl/>
            </w:rPr>
            <w:t xml:space="preserve">שם צד ג' ללא </w:t>
          </w:r>
          <w:r>
            <w:rPr>
              <w:b/>
              <w:bCs/>
              <w:sz w:val="26"/>
              <w:szCs w:val="26"/>
              <w:rtl/>
            </w:rPr>
            <w:t xml:space="preserve"> </w:t>
          </w:r>
          <w:r w:rsidRPr="00B62AD7">
            <w:rPr>
              <w:b/>
              <w:bCs/>
              <w:sz w:val="26"/>
              <w:szCs w:val="26"/>
              <w:rtl/>
            </w:rPr>
            <w:t>שם של חסוי</w:t>
          </w:r>
        </w:p>
      </w:docPartBody>
    </w:docPart>
    <w:docPart>
      <w:docPartPr>
        <w:name w:val="3338C8962940478B97C53573A0F7FB8B"/>
        <w:category>
          <w:name w:val="כללי"/>
          <w:gallery w:val="placeholder"/>
        </w:category>
        <w:types>
          <w:type w:val="bbPlcHdr"/>
        </w:types>
        <w:behaviors>
          <w:behavior w:val="content"/>
        </w:behaviors>
        <w:guid w:val="{3968B717-7536-43C1-B42B-2307BE912F8D}"/>
      </w:docPartPr>
      <w:docPartBody>
        <w:p w:rsidR="001670D1" w:rsidRDefault="00B50B2E" w:rsidP="00B50B2E">
          <w:pPr>
            <w:pStyle w:val="3338C8962940478B97C53573A0F7FB8B"/>
          </w:pPr>
          <w:r>
            <w:rPr>
              <w:rFonts w:ascii="Arial" w:hAnsi="Arial"/>
              <w:b/>
              <w:bCs/>
              <w:sz w:val="26"/>
              <w:szCs w:val="26"/>
              <w:rtl/>
            </w:rPr>
            <w:t>שם צד א' ללא שם של חסוי</w:t>
          </w:r>
        </w:p>
      </w:docPartBody>
    </w:docPart>
    <w:docPart>
      <w:docPartPr>
        <w:name w:val="0F3259FAB891495EA2C19E2158F76D6B"/>
        <w:category>
          <w:name w:val="כללי"/>
          <w:gallery w:val="placeholder"/>
        </w:category>
        <w:types>
          <w:type w:val="bbPlcHdr"/>
        </w:types>
        <w:behaviors>
          <w:behavior w:val="content"/>
        </w:behaviors>
        <w:guid w:val="{7CC8F9F1-2F50-4425-9322-9DC859245E4C}"/>
      </w:docPartPr>
      <w:docPartBody>
        <w:p w:rsidR="001670D1" w:rsidRDefault="00B50B2E" w:rsidP="00B50B2E">
          <w:pPr>
            <w:pStyle w:val="0F3259FAB891495EA2C19E2158F76D6B"/>
          </w:pPr>
          <w:r>
            <w:rPr>
              <w:rFonts w:ascii="Arial" w:hAnsi="Arial"/>
              <w:b/>
              <w:bCs/>
              <w:sz w:val="26"/>
              <w:szCs w:val="26"/>
              <w:rtl/>
            </w:rPr>
            <w:t>שם צד ב' ללא שם של חסוי</w:t>
          </w:r>
        </w:p>
      </w:docPartBody>
    </w:docPart>
    <w:docPart>
      <w:docPartPr>
        <w:name w:val="CD069E77A2B340D5A5D5E658D7D4AD28"/>
        <w:category>
          <w:name w:val="כללי"/>
          <w:gallery w:val="placeholder"/>
        </w:category>
        <w:types>
          <w:type w:val="bbPlcHdr"/>
        </w:types>
        <w:behaviors>
          <w:behavior w:val="content"/>
        </w:behaviors>
        <w:guid w:val="{04B27BB3-EB14-4C5C-9C2E-5C61A7ED51F6}"/>
      </w:docPartPr>
      <w:docPartBody>
        <w:p w:rsidR="001670D1" w:rsidRDefault="00B50B2E" w:rsidP="00B50B2E">
          <w:pPr>
            <w:pStyle w:val="CD069E77A2B340D5A5D5E658D7D4AD28"/>
          </w:pPr>
          <w:r>
            <w:rPr>
              <w:rFonts w:ascii="Arial" w:hAnsi="Arial"/>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670D1"/>
    <w:rsid w:val="001A0763"/>
    <w:rsid w:val="002D02C4"/>
    <w:rsid w:val="002D09CE"/>
    <w:rsid w:val="00345C9D"/>
    <w:rsid w:val="0048651F"/>
    <w:rsid w:val="004B017A"/>
    <w:rsid w:val="005157ED"/>
    <w:rsid w:val="00556D67"/>
    <w:rsid w:val="00673B50"/>
    <w:rsid w:val="00793995"/>
    <w:rsid w:val="007C6F98"/>
    <w:rsid w:val="007E254A"/>
    <w:rsid w:val="0081416E"/>
    <w:rsid w:val="008B4366"/>
    <w:rsid w:val="009133C7"/>
    <w:rsid w:val="009178E4"/>
    <w:rsid w:val="00961B27"/>
    <w:rsid w:val="009A36E7"/>
    <w:rsid w:val="00A74356"/>
    <w:rsid w:val="00AA7CE3"/>
    <w:rsid w:val="00B50B2E"/>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3338C8962940478B97C53573A0F7FB8B">
    <w:name w:val="3338C8962940478B97C53573A0F7FB8B"/>
    <w:rsid w:val="00B50B2E"/>
    <w:pPr>
      <w:bidi/>
      <w:spacing w:after="160" w:line="259" w:lineRule="auto"/>
    </w:pPr>
  </w:style>
  <w:style w:type="paragraph" w:customStyle="1" w:styleId="0F3259FAB891495EA2C19E2158F76D6B">
    <w:name w:val="0F3259FAB891495EA2C19E2158F76D6B"/>
    <w:rsid w:val="00B50B2E"/>
    <w:pPr>
      <w:bidi/>
      <w:spacing w:after="160" w:line="259" w:lineRule="auto"/>
    </w:pPr>
  </w:style>
  <w:style w:type="paragraph" w:customStyle="1" w:styleId="CD069E77A2B340D5A5D5E658D7D4AD28">
    <w:name w:val="CD069E77A2B340D5A5D5E658D7D4AD28"/>
    <w:rsid w:val="00B50B2E"/>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2887</Words>
  <Characters>14440</Characters>
  <Application>Microsoft Office Word</Application>
  <DocSecurity>0</DocSecurity>
  <Lines>120</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2024-12-12T15:49:00Z</dcterms:created>
  <dcterms:modified xsi:type="dcterms:W3CDTF">2024-12-12T15:49:00Z</dcterms:modified>
</cp:coreProperties>
</file>